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6FB" w:rsidRPr="0072139A" w:rsidRDefault="001F56FB" w:rsidP="001F56FB">
      <w:pPr>
        <w:pStyle w:val="Default"/>
        <w:spacing w:before="120" w:after="120"/>
        <w:jc w:val="both"/>
        <w:rPr>
          <w:sz w:val="28"/>
          <w:szCs w:val="23"/>
        </w:rPr>
      </w:pPr>
      <w:r w:rsidRPr="0072139A">
        <w:rPr>
          <w:b/>
          <w:bCs/>
          <w:sz w:val="28"/>
          <w:szCs w:val="23"/>
        </w:rPr>
        <w:t xml:space="preserve">Podmínky elektronické aukce provozovatele zásobníku plynu MND Gas Storage a.s. (dále jen „Provozovatel ZP“) pro rezervaci měsíční skladovací kapacity s pevným výkonem, vyhlášenou na den 26. 4. 2018 (dále jen „Podmínky aukce“) </w:t>
      </w:r>
    </w:p>
    <w:p w:rsidR="001F56FB" w:rsidRPr="0072139A" w:rsidRDefault="001F56FB" w:rsidP="001F56FB">
      <w:pPr>
        <w:pStyle w:val="Default"/>
        <w:spacing w:before="120" w:after="120"/>
        <w:jc w:val="both"/>
        <w:rPr>
          <w:b/>
          <w:bCs/>
          <w:sz w:val="23"/>
          <w:szCs w:val="23"/>
        </w:rPr>
      </w:pPr>
    </w:p>
    <w:p w:rsidR="001F56FB" w:rsidRPr="0072139A" w:rsidRDefault="001F56FB" w:rsidP="001F56FB">
      <w:pPr>
        <w:pStyle w:val="Default"/>
        <w:spacing w:before="120" w:after="120"/>
        <w:jc w:val="both"/>
        <w:rPr>
          <w:b/>
          <w:bCs/>
          <w:sz w:val="23"/>
          <w:szCs w:val="23"/>
        </w:rPr>
      </w:pPr>
    </w:p>
    <w:p w:rsidR="001F56FB" w:rsidRPr="0072139A" w:rsidRDefault="001F56FB" w:rsidP="001F56FB">
      <w:pPr>
        <w:pStyle w:val="Default"/>
        <w:spacing w:before="120" w:after="120"/>
        <w:jc w:val="both"/>
        <w:rPr>
          <w:sz w:val="23"/>
          <w:szCs w:val="23"/>
        </w:rPr>
      </w:pPr>
      <w:r w:rsidRPr="0072139A">
        <w:rPr>
          <w:b/>
          <w:bCs/>
          <w:sz w:val="23"/>
          <w:szCs w:val="23"/>
        </w:rPr>
        <w:t xml:space="preserve">Úvodní ustanovení </w:t>
      </w:r>
    </w:p>
    <w:p w:rsidR="001F56FB" w:rsidRPr="0072139A" w:rsidRDefault="001F56FB" w:rsidP="001F56FB">
      <w:pPr>
        <w:pStyle w:val="Default"/>
        <w:spacing w:before="120" w:after="120"/>
        <w:jc w:val="both"/>
        <w:rPr>
          <w:sz w:val="23"/>
          <w:szCs w:val="23"/>
        </w:rPr>
      </w:pPr>
      <w:r w:rsidRPr="0072139A">
        <w:rPr>
          <w:sz w:val="23"/>
          <w:szCs w:val="23"/>
        </w:rPr>
        <w:t>Tyto podmínky aukce jsou vypracovány v souladu s platnými a účinnými obecně závaznými právními předpisy, zejména pak vyhláškou č. 349/2015 Sb., o pravidlech trhu s plynem (dále jen „Pravidla trhu“) a Řádem provozovatele zásobníku plynu MND Gas Storage a.s (dále jen „Řád provozovatele“).</w:t>
      </w:r>
    </w:p>
    <w:p w:rsidR="001F56FB" w:rsidRPr="0072139A" w:rsidRDefault="001F56FB" w:rsidP="001F56FB">
      <w:pPr>
        <w:pStyle w:val="Default"/>
        <w:spacing w:before="120" w:after="120"/>
        <w:jc w:val="both"/>
        <w:rPr>
          <w:sz w:val="23"/>
          <w:szCs w:val="23"/>
        </w:rPr>
      </w:pPr>
      <w:r w:rsidRPr="0072139A">
        <w:rPr>
          <w:sz w:val="23"/>
          <w:szCs w:val="23"/>
        </w:rPr>
        <w:t xml:space="preserve">Účast v aukci konané dne 26. 4. 2018 (dále jen „Aukce“) je možná za předpokladu splnění (doložení) základních podmínek pro postup při rezervaci skladovací kapacity uvedených v Řádu provozovatele, specifikovaných těmito Podmínkami aukce. </w:t>
      </w:r>
    </w:p>
    <w:p w:rsidR="001F56FB" w:rsidRPr="0072139A" w:rsidRDefault="001F56FB" w:rsidP="001F56FB">
      <w:pPr>
        <w:pStyle w:val="Default"/>
        <w:spacing w:before="120" w:after="120"/>
        <w:jc w:val="both"/>
        <w:rPr>
          <w:sz w:val="23"/>
          <w:szCs w:val="23"/>
        </w:rPr>
      </w:pPr>
      <w:r w:rsidRPr="0072139A">
        <w:rPr>
          <w:sz w:val="23"/>
          <w:szCs w:val="23"/>
        </w:rPr>
        <w:t xml:space="preserve">Další záležitosti týkající se aukce, které nejsou uvedeny v Podmínkách aukce nebo  v Řádu provozovatele, se řídí Pravidly trhu. </w:t>
      </w:r>
    </w:p>
    <w:p w:rsidR="001F56FB" w:rsidRPr="0072139A" w:rsidRDefault="001F56FB" w:rsidP="001F56FB">
      <w:pPr>
        <w:pStyle w:val="Default"/>
        <w:spacing w:before="120" w:after="120"/>
        <w:jc w:val="both"/>
        <w:rPr>
          <w:sz w:val="23"/>
          <w:szCs w:val="23"/>
        </w:rPr>
      </w:pPr>
    </w:p>
    <w:p w:rsidR="001F56FB" w:rsidRPr="0072139A" w:rsidRDefault="001F56FB" w:rsidP="001F56FB">
      <w:pPr>
        <w:pStyle w:val="Default"/>
        <w:spacing w:before="120" w:after="120"/>
        <w:jc w:val="both"/>
        <w:rPr>
          <w:b/>
          <w:bCs/>
          <w:sz w:val="23"/>
          <w:szCs w:val="23"/>
        </w:rPr>
      </w:pPr>
    </w:p>
    <w:p w:rsidR="001F56FB" w:rsidRPr="0072139A" w:rsidRDefault="001F56FB" w:rsidP="001F56FB">
      <w:pPr>
        <w:pStyle w:val="Default"/>
        <w:spacing w:before="120" w:after="120"/>
        <w:jc w:val="both"/>
        <w:rPr>
          <w:b/>
          <w:bCs/>
          <w:sz w:val="23"/>
          <w:szCs w:val="23"/>
        </w:rPr>
      </w:pPr>
    </w:p>
    <w:p w:rsidR="001F56FB" w:rsidRPr="0072139A" w:rsidRDefault="001F56FB" w:rsidP="001F56FB">
      <w:pPr>
        <w:pStyle w:val="Default"/>
        <w:spacing w:before="120" w:after="120"/>
        <w:jc w:val="both"/>
        <w:rPr>
          <w:sz w:val="23"/>
          <w:szCs w:val="23"/>
        </w:rPr>
      </w:pPr>
      <w:r w:rsidRPr="0072139A">
        <w:rPr>
          <w:b/>
          <w:bCs/>
          <w:sz w:val="23"/>
          <w:szCs w:val="23"/>
        </w:rPr>
        <w:t xml:space="preserve">Základní parametry podmínek aukce </w:t>
      </w:r>
    </w:p>
    <w:p w:rsidR="001F56FB" w:rsidRPr="0072139A" w:rsidRDefault="001F56FB" w:rsidP="001F56FB">
      <w:pPr>
        <w:pStyle w:val="Default"/>
        <w:spacing w:before="120" w:after="120"/>
        <w:ind w:left="4245" w:hanging="4245"/>
        <w:jc w:val="both"/>
        <w:rPr>
          <w:sz w:val="23"/>
          <w:szCs w:val="23"/>
        </w:rPr>
      </w:pPr>
      <w:r w:rsidRPr="0072139A">
        <w:rPr>
          <w:i/>
          <w:iCs/>
          <w:sz w:val="23"/>
          <w:szCs w:val="23"/>
        </w:rPr>
        <w:t>Typ rezervované skladovací kapacity</w:t>
      </w:r>
      <w:r w:rsidRPr="0072139A">
        <w:rPr>
          <w:sz w:val="23"/>
          <w:szCs w:val="23"/>
        </w:rPr>
        <w:t xml:space="preserve">: </w:t>
      </w:r>
      <w:r w:rsidRPr="0072139A">
        <w:rPr>
          <w:sz w:val="23"/>
          <w:szCs w:val="23"/>
        </w:rPr>
        <w:tab/>
        <w:t>Měsíční skladovací kapacita s pevným výkonem postupem dle § 54 Pravidel trhu</w:t>
      </w:r>
    </w:p>
    <w:p w:rsidR="001F56FB" w:rsidRPr="0072139A" w:rsidRDefault="001F56FB" w:rsidP="001F56FB">
      <w:pPr>
        <w:pStyle w:val="Default"/>
        <w:spacing w:before="120" w:after="120"/>
        <w:jc w:val="both"/>
        <w:rPr>
          <w:sz w:val="23"/>
          <w:szCs w:val="23"/>
        </w:rPr>
      </w:pPr>
      <w:r w:rsidRPr="0072139A">
        <w:rPr>
          <w:i/>
          <w:iCs/>
          <w:sz w:val="23"/>
          <w:szCs w:val="23"/>
        </w:rPr>
        <w:t>Termín konání aukce</w:t>
      </w:r>
      <w:r w:rsidRPr="0072139A">
        <w:rPr>
          <w:sz w:val="23"/>
          <w:szCs w:val="23"/>
        </w:rPr>
        <w:t xml:space="preserve">: </w:t>
      </w:r>
      <w:r w:rsidRPr="0072139A">
        <w:rPr>
          <w:sz w:val="23"/>
          <w:szCs w:val="23"/>
        </w:rPr>
        <w:tab/>
      </w:r>
      <w:r w:rsidRPr="0072139A">
        <w:rPr>
          <w:sz w:val="23"/>
          <w:szCs w:val="23"/>
        </w:rPr>
        <w:tab/>
      </w:r>
      <w:r w:rsidRPr="0072139A">
        <w:rPr>
          <w:sz w:val="23"/>
          <w:szCs w:val="23"/>
        </w:rPr>
        <w:tab/>
      </w:r>
      <w:r w:rsidRPr="0072139A">
        <w:rPr>
          <w:sz w:val="23"/>
          <w:szCs w:val="23"/>
        </w:rPr>
        <w:tab/>
        <w:t>26. 4. 2018, 13:00 hod.</w:t>
      </w:r>
    </w:p>
    <w:p w:rsidR="001F56FB" w:rsidRPr="0072139A" w:rsidRDefault="001F56FB" w:rsidP="001F56FB">
      <w:pPr>
        <w:pStyle w:val="Default"/>
        <w:spacing w:before="120" w:after="120"/>
        <w:jc w:val="both"/>
        <w:rPr>
          <w:sz w:val="23"/>
          <w:szCs w:val="23"/>
        </w:rPr>
      </w:pPr>
      <w:r w:rsidRPr="0072139A">
        <w:rPr>
          <w:i/>
          <w:iCs/>
          <w:sz w:val="23"/>
          <w:szCs w:val="23"/>
        </w:rPr>
        <w:t>Skladovací období</w:t>
      </w:r>
      <w:r w:rsidRPr="0072139A">
        <w:rPr>
          <w:sz w:val="23"/>
          <w:szCs w:val="23"/>
        </w:rPr>
        <w:t xml:space="preserve">: </w:t>
      </w:r>
      <w:r w:rsidRPr="0072139A">
        <w:rPr>
          <w:sz w:val="23"/>
          <w:szCs w:val="23"/>
        </w:rPr>
        <w:tab/>
      </w:r>
      <w:r w:rsidRPr="0072139A">
        <w:rPr>
          <w:sz w:val="23"/>
          <w:szCs w:val="23"/>
        </w:rPr>
        <w:tab/>
      </w:r>
      <w:r w:rsidRPr="0072139A">
        <w:rPr>
          <w:sz w:val="23"/>
          <w:szCs w:val="23"/>
        </w:rPr>
        <w:tab/>
      </w:r>
      <w:r w:rsidRPr="0072139A">
        <w:rPr>
          <w:sz w:val="23"/>
          <w:szCs w:val="23"/>
        </w:rPr>
        <w:tab/>
        <w:t xml:space="preserve">23 skladovacích měsíců od 1. května 2018, 06:00 hod. </w:t>
      </w:r>
      <w:r w:rsidRPr="0072139A">
        <w:rPr>
          <w:sz w:val="23"/>
          <w:szCs w:val="23"/>
        </w:rPr>
        <w:tab/>
      </w:r>
      <w:r w:rsidRPr="0072139A">
        <w:rPr>
          <w:sz w:val="23"/>
          <w:szCs w:val="23"/>
        </w:rPr>
        <w:tab/>
      </w:r>
      <w:r w:rsidRPr="0072139A">
        <w:rPr>
          <w:sz w:val="23"/>
          <w:szCs w:val="23"/>
        </w:rPr>
        <w:tab/>
      </w:r>
      <w:r w:rsidRPr="0072139A">
        <w:rPr>
          <w:sz w:val="23"/>
          <w:szCs w:val="23"/>
        </w:rPr>
        <w:tab/>
      </w:r>
      <w:r w:rsidRPr="0072139A">
        <w:rPr>
          <w:sz w:val="23"/>
          <w:szCs w:val="23"/>
        </w:rPr>
        <w:tab/>
      </w:r>
      <w:r w:rsidRPr="0072139A">
        <w:rPr>
          <w:sz w:val="23"/>
          <w:szCs w:val="23"/>
        </w:rPr>
        <w:tab/>
      </w:r>
      <w:r>
        <w:rPr>
          <w:sz w:val="23"/>
          <w:szCs w:val="23"/>
        </w:rPr>
        <w:tab/>
      </w:r>
      <w:r w:rsidRPr="0072139A">
        <w:rPr>
          <w:sz w:val="23"/>
          <w:szCs w:val="23"/>
        </w:rPr>
        <w:t xml:space="preserve">do 1. dubna 2020, 06:00 hod. </w:t>
      </w:r>
    </w:p>
    <w:p w:rsidR="001F56FB" w:rsidRPr="0072139A" w:rsidRDefault="001F56FB" w:rsidP="001F56FB">
      <w:pPr>
        <w:pStyle w:val="Default"/>
        <w:spacing w:before="120" w:after="120"/>
        <w:jc w:val="both"/>
        <w:rPr>
          <w:sz w:val="23"/>
          <w:szCs w:val="23"/>
        </w:rPr>
      </w:pPr>
      <w:r w:rsidRPr="0072139A">
        <w:rPr>
          <w:i/>
          <w:sz w:val="23"/>
          <w:szCs w:val="23"/>
        </w:rPr>
        <w:t>Celková výše skladovací kapacity</w:t>
      </w:r>
      <w:r w:rsidRPr="0072139A">
        <w:rPr>
          <w:sz w:val="23"/>
          <w:szCs w:val="23"/>
        </w:rPr>
        <w:t>:</w:t>
      </w:r>
      <w:r w:rsidRPr="0072139A">
        <w:rPr>
          <w:sz w:val="23"/>
          <w:szCs w:val="23"/>
        </w:rPr>
        <w:tab/>
      </w:r>
      <w:r w:rsidRPr="0072139A">
        <w:rPr>
          <w:sz w:val="23"/>
          <w:szCs w:val="23"/>
        </w:rPr>
        <w:tab/>
        <w:t>0 GWh</w:t>
      </w:r>
    </w:p>
    <w:p w:rsidR="001F56FB" w:rsidRPr="0072139A" w:rsidRDefault="001F56FB" w:rsidP="001F56FB">
      <w:pPr>
        <w:pStyle w:val="Default"/>
        <w:spacing w:before="120" w:after="120"/>
        <w:jc w:val="both"/>
        <w:rPr>
          <w:sz w:val="23"/>
          <w:szCs w:val="23"/>
        </w:rPr>
      </w:pPr>
      <w:r w:rsidRPr="0072139A">
        <w:rPr>
          <w:i/>
          <w:sz w:val="23"/>
          <w:szCs w:val="23"/>
        </w:rPr>
        <w:t>Maximální těžební výkon:</w:t>
      </w:r>
      <w:r w:rsidRPr="0072139A">
        <w:rPr>
          <w:i/>
          <w:sz w:val="23"/>
          <w:szCs w:val="23"/>
        </w:rPr>
        <w:tab/>
      </w:r>
      <w:r w:rsidRPr="0072139A">
        <w:rPr>
          <w:i/>
          <w:sz w:val="23"/>
          <w:szCs w:val="23"/>
        </w:rPr>
        <w:tab/>
      </w:r>
      <w:r w:rsidRPr="0072139A">
        <w:rPr>
          <w:i/>
          <w:sz w:val="23"/>
          <w:szCs w:val="23"/>
        </w:rPr>
        <w:tab/>
      </w:r>
      <w:r w:rsidRPr="0072139A">
        <w:rPr>
          <w:sz w:val="23"/>
          <w:szCs w:val="23"/>
        </w:rPr>
        <w:t>0  MWh / den</w:t>
      </w:r>
    </w:p>
    <w:p w:rsidR="001F56FB" w:rsidRPr="0072139A" w:rsidRDefault="001F56FB" w:rsidP="001F56FB">
      <w:pPr>
        <w:pStyle w:val="Default"/>
        <w:spacing w:before="120" w:after="120"/>
        <w:jc w:val="both"/>
        <w:rPr>
          <w:i/>
          <w:sz w:val="23"/>
          <w:szCs w:val="23"/>
        </w:rPr>
      </w:pPr>
      <w:r w:rsidRPr="0072139A">
        <w:rPr>
          <w:i/>
          <w:sz w:val="23"/>
          <w:szCs w:val="23"/>
        </w:rPr>
        <w:t>Maximální vtláčecí výkon:</w:t>
      </w:r>
      <w:r w:rsidRPr="0072139A">
        <w:rPr>
          <w:i/>
          <w:sz w:val="23"/>
          <w:szCs w:val="23"/>
        </w:rPr>
        <w:tab/>
      </w:r>
      <w:r w:rsidRPr="0072139A">
        <w:rPr>
          <w:i/>
          <w:sz w:val="23"/>
          <w:szCs w:val="23"/>
        </w:rPr>
        <w:tab/>
      </w:r>
      <w:r w:rsidRPr="0072139A">
        <w:rPr>
          <w:i/>
          <w:sz w:val="23"/>
          <w:szCs w:val="23"/>
        </w:rPr>
        <w:tab/>
        <w:t>7 600</w:t>
      </w:r>
      <w:r w:rsidRPr="0072139A">
        <w:rPr>
          <w:sz w:val="23"/>
          <w:szCs w:val="23"/>
        </w:rPr>
        <w:t xml:space="preserve">  MWh / den</w:t>
      </w:r>
      <w:r w:rsidRPr="0072139A">
        <w:rPr>
          <w:i/>
          <w:sz w:val="23"/>
          <w:szCs w:val="23"/>
        </w:rPr>
        <w:t xml:space="preserve"> </w:t>
      </w:r>
    </w:p>
    <w:p w:rsidR="001F56FB" w:rsidRPr="0072139A" w:rsidRDefault="001F56FB" w:rsidP="001F56FB">
      <w:pPr>
        <w:pStyle w:val="Default"/>
        <w:spacing w:before="120" w:after="120"/>
        <w:jc w:val="both"/>
        <w:rPr>
          <w:b/>
          <w:bCs/>
          <w:sz w:val="23"/>
          <w:szCs w:val="23"/>
        </w:rPr>
      </w:pPr>
    </w:p>
    <w:p w:rsidR="001F56FB" w:rsidRPr="0072139A" w:rsidRDefault="001F56FB" w:rsidP="001F56FB">
      <w:pPr>
        <w:pStyle w:val="Default"/>
        <w:spacing w:before="120" w:after="120"/>
        <w:jc w:val="both"/>
        <w:rPr>
          <w:b/>
          <w:bCs/>
          <w:sz w:val="23"/>
          <w:szCs w:val="23"/>
        </w:rPr>
      </w:pPr>
    </w:p>
    <w:p w:rsidR="001F56FB" w:rsidRPr="0072139A" w:rsidRDefault="001F56FB" w:rsidP="001F56FB">
      <w:pPr>
        <w:pStyle w:val="Default"/>
        <w:spacing w:before="120" w:after="120"/>
        <w:jc w:val="both"/>
        <w:rPr>
          <w:b/>
          <w:bCs/>
          <w:sz w:val="23"/>
          <w:szCs w:val="23"/>
        </w:rPr>
      </w:pPr>
    </w:p>
    <w:p w:rsidR="001F56FB" w:rsidRPr="0072139A" w:rsidRDefault="001F56FB" w:rsidP="001F56FB">
      <w:pPr>
        <w:pStyle w:val="Default"/>
        <w:spacing w:before="120" w:after="120"/>
        <w:jc w:val="both"/>
        <w:rPr>
          <w:b/>
          <w:bCs/>
          <w:sz w:val="23"/>
          <w:szCs w:val="23"/>
        </w:rPr>
      </w:pPr>
    </w:p>
    <w:p w:rsidR="001F56FB" w:rsidRPr="0072139A" w:rsidRDefault="001F56FB" w:rsidP="001F56FB">
      <w:pPr>
        <w:spacing w:after="0" w:line="240" w:lineRule="auto"/>
        <w:rPr>
          <w:rFonts w:cs="Calibri"/>
          <w:b/>
          <w:bCs/>
          <w:color w:val="000000"/>
          <w:sz w:val="23"/>
          <w:szCs w:val="23"/>
        </w:rPr>
      </w:pPr>
      <w:r w:rsidRPr="0072139A">
        <w:rPr>
          <w:b/>
          <w:bCs/>
          <w:sz w:val="23"/>
          <w:szCs w:val="23"/>
        </w:rPr>
        <w:br w:type="page"/>
      </w:r>
    </w:p>
    <w:p w:rsidR="001F56FB" w:rsidRPr="0072139A" w:rsidRDefault="001F56FB" w:rsidP="001F56FB">
      <w:pPr>
        <w:pStyle w:val="Default"/>
        <w:spacing w:before="120" w:after="120"/>
        <w:jc w:val="both"/>
        <w:rPr>
          <w:sz w:val="23"/>
          <w:szCs w:val="23"/>
        </w:rPr>
      </w:pPr>
      <w:r w:rsidRPr="0072139A">
        <w:rPr>
          <w:b/>
          <w:bCs/>
          <w:sz w:val="23"/>
          <w:szCs w:val="23"/>
        </w:rPr>
        <w:lastRenderedPageBreak/>
        <w:t xml:space="preserve">1. Způsob určení minimální ceny </w:t>
      </w:r>
    </w:p>
    <w:p w:rsidR="001F56FB" w:rsidRPr="0072139A" w:rsidRDefault="001F56FB" w:rsidP="001F56FB">
      <w:pPr>
        <w:pStyle w:val="Default"/>
        <w:spacing w:before="120" w:after="120"/>
        <w:jc w:val="both"/>
        <w:rPr>
          <w:sz w:val="23"/>
          <w:szCs w:val="23"/>
        </w:rPr>
      </w:pPr>
      <w:r w:rsidRPr="0072139A">
        <w:rPr>
          <w:sz w:val="23"/>
          <w:szCs w:val="23"/>
        </w:rPr>
        <w:t>Minimální (vyvolávací) cena pro každý skladovací den je určena následujícím vzorcem:</w:t>
      </w:r>
    </w:p>
    <w:p w:rsidR="001F56FB" w:rsidRPr="0072139A" w:rsidRDefault="001F56FB" w:rsidP="001F56FB">
      <w:pPr>
        <w:pStyle w:val="Default"/>
        <w:spacing w:before="120" w:after="120"/>
        <w:jc w:val="center"/>
        <w:rPr>
          <w:b/>
          <w:sz w:val="23"/>
          <w:szCs w:val="23"/>
        </w:rPr>
      </w:pPr>
      <w:r w:rsidRPr="0072139A">
        <w:rPr>
          <w:b/>
          <w:sz w:val="23"/>
          <w:szCs w:val="23"/>
        </w:rPr>
        <w:t>P</w:t>
      </w:r>
      <w:r w:rsidRPr="0072139A">
        <w:rPr>
          <w:b/>
          <w:sz w:val="23"/>
          <w:szCs w:val="23"/>
          <w:vertAlign w:val="subscript"/>
        </w:rPr>
        <w:t>U</w:t>
      </w:r>
      <w:r w:rsidRPr="0072139A">
        <w:rPr>
          <w:b/>
          <w:sz w:val="23"/>
          <w:szCs w:val="23"/>
        </w:rPr>
        <w:t xml:space="preserve"> = P</w:t>
      </w:r>
      <w:r w:rsidRPr="0072139A">
        <w:rPr>
          <w:b/>
          <w:sz w:val="23"/>
          <w:szCs w:val="23"/>
          <w:vertAlign w:val="subscript"/>
        </w:rPr>
        <w:t>F</w:t>
      </w:r>
      <w:r w:rsidRPr="0072139A">
        <w:rPr>
          <w:b/>
          <w:sz w:val="23"/>
          <w:szCs w:val="23"/>
        </w:rPr>
        <w:t xml:space="preserve"> + K</w:t>
      </w:r>
    </w:p>
    <w:p w:rsidR="001F56FB" w:rsidRPr="0072139A" w:rsidRDefault="001F56FB" w:rsidP="001F56FB">
      <w:pPr>
        <w:pStyle w:val="Default"/>
        <w:spacing w:before="120" w:after="120"/>
        <w:jc w:val="both"/>
        <w:rPr>
          <w:sz w:val="23"/>
          <w:szCs w:val="23"/>
        </w:rPr>
      </w:pPr>
      <w:r w:rsidRPr="0072139A">
        <w:rPr>
          <w:sz w:val="23"/>
          <w:szCs w:val="23"/>
        </w:rPr>
        <w:t>Kde:</w:t>
      </w:r>
    </w:p>
    <w:p w:rsidR="001F56FB" w:rsidRPr="0072139A" w:rsidRDefault="001F56FB" w:rsidP="001F56FB">
      <w:pPr>
        <w:pStyle w:val="Default"/>
        <w:spacing w:before="120" w:after="120"/>
        <w:ind w:left="705" w:hanging="705"/>
        <w:jc w:val="both"/>
        <w:rPr>
          <w:sz w:val="23"/>
          <w:szCs w:val="23"/>
        </w:rPr>
      </w:pPr>
      <w:r w:rsidRPr="0072139A">
        <w:rPr>
          <w:sz w:val="23"/>
          <w:szCs w:val="23"/>
        </w:rPr>
        <w:t>P</w:t>
      </w:r>
      <w:r w:rsidRPr="0072139A">
        <w:rPr>
          <w:sz w:val="23"/>
          <w:szCs w:val="23"/>
          <w:vertAlign w:val="subscript"/>
        </w:rPr>
        <w:t>U</w:t>
      </w:r>
      <w:r w:rsidRPr="0072139A">
        <w:rPr>
          <w:sz w:val="23"/>
          <w:szCs w:val="23"/>
        </w:rPr>
        <w:tab/>
        <w:t xml:space="preserve">reprezentuje denní jednotkovou cenu maximálního vtláčecího výkonu za den, cena je určena v Kč za 1 MWh/den rezervovaného maximálního vtláčecího výkonu </w:t>
      </w:r>
    </w:p>
    <w:p w:rsidR="001F56FB" w:rsidRPr="0072139A" w:rsidRDefault="001F56FB" w:rsidP="001F56FB">
      <w:pPr>
        <w:pStyle w:val="Default"/>
        <w:spacing w:before="120" w:after="120"/>
        <w:ind w:left="705" w:hanging="705"/>
        <w:jc w:val="both"/>
        <w:rPr>
          <w:sz w:val="18"/>
          <w:szCs w:val="18"/>
        </w:rPr>
      </w:pPr>
      <w:r w:rsidRPr="0072139A">
        <w:rPr>
          <w:sz w:val="23"/>
          <w:szCs w:val="23"/>
        </w:rPr>
        <w:t>P</w:t>
      </w:r>
      <w:r w:rsidRPr="0072139A">
        <w:rPr>
          <w:sz w:val="23"/>
          <w:szCs w:val="23"/>
          <w:vertAlign w:val="subscript"/>
        </w:rPr>
        <w:t>F</w:t>
      </w:r>
      <w:r w:rsidRPr="0072139A">
        <w:rPr>
          <w:sz w:val="23"/>
          <w:szCs w:val="23"/>
        </w:rPr>
        <w:tab/>
        <w:t>reprezentuje fixní základ rovný 1,00 Kč za 1 MWh/den rezervované maximálního vtláčecího výkonu</w:t>
      </w:r>
    </w:p>
    <w:p w:rsidR="001F56FB" w:rsidRPr="0072139A" w:rsidRDefault="001F56FB" w:rsidP="001F56FB">
      <w:pPr>
        <w:pStyle w:val="Default"/>
        <w:spacing w:before="120" w:after="120"/>
        <w:ind w:left="705" w:hanging="705"/>
        <w:jc w:val="both"/>
        <w:rPr>
          <w:sz w:val="23"/>
          <w:szCs w:val="23"/>
        </w:rPr>
      </w:pPr>
      <w:r w:rsidRPr="0072139A">
        <w:rPr>
          <w:sz w:val="23"/>
          <w:szCs w:val="23"/>
        </w:rPr>
        <w:t>K </w:t>
      </w:r>
      <w:r w:rsidRPr="0072139A">
        <w:rPr>
          <w:sz w:val="23"/>
          <w:szCs w:val="23"/>
        </w:rPr>
        <w:tab/>
        <w:t>reprezentuje růstový koeficient – základ pro navyšování ceny za jednotku vtláčecího výkonu v jednotlivých kolech aukce; pro první kolo elektronické aukce se stanovuje ve výši „0 Kč / MWh/den“ (slovy: nula korun českých za jednu megawatthodinu za den).</w:t>
      </w:r>
    </w:p>
    <w:p w:rsidR="001F56FB" w:rsidRPr="0072139A" w:rsidRDefault="001F56FB" w:rsidP="001F56FB">
      <w:pPr>
        <w:pStyle w:val="Default"/>
        <w:spacing w:before="120" w:after="120"/>
        <w:jc w:val="both"/>
        <w:rPr>
          <w:sz w:val="23"/>
          <w:szCs w:val="23"/>
        </w:rPr>
      </w:pPr>
    </w:p>
    <w:p w:rsidR="001F56FB" w:rsidRPr="0072139A" w:rsidRDefault="001F56FB" w:rsidP="001F56FB">
      <w:pPr>
        <w:pStyle w:val="Default"/>
        <w:spacing w:before="120" w:after="120"/>
        <w:jc w:val="both"/>
        <w:rPr>
          <w:sz w:val="23"/>
          <w:szCs w:val="23"/>
        </w:rPr>
      </w:pPr>
      <w:r w:rsidRPr="0072139A">
        <w:rPr>
          <w:b/>
          <w:bCs/>
          <w:sz w:val="23"/>
          <w:szCs w:val="23"/>
        </w:rPr>
        <w:t xml:space="preserve">2. Termín aukce </w:t>
      </w:r>
    </w:p>
    <w:p w:rsidR="001F56FB" w:rsidRPr="0072139A" w:rsidRDefault="001F56FB" w:rsidP="001F56FB">
      <w:pPr>
        <w:pStyle w:val="Default"/>
        <w:spacing w:before="120" w:after="120"/>
        <w:jc w:val="both"/>
        <w:rPr>
          <w:sz w:val="23"/>
          <w:szCs w:val="23"/>
        </w:rPr>
      </w:pPr>
      <w:r w:rsidRPr="0072139A">
        <w:rPr>
          <w:sz w:val="23"/>
          <w:szCs w:val="23"/>
        </w:rPr>
        <w:t xml:space="preserve">Termín zahájení aukce je stanoven na 26. 4. 2018 v 13:00 hod. s tím, že registrace žadatele do informačního systému provozovatele zásobníku plynu MND Gas Storage a.s. pro účast v aukci bude provedena žadatelem nejpozději do 25. 4. 2018 do 18:00 hod. </w:t>
      </w:r>
    </w:p>
    <w:p w:rsidR="001F56FB" w:rsidRPr="0072139A" w:rsidRDefault="001F56FB" w:rsidP="001F56FB">
      <w:pPr>
        <w:pStyle w:val="Default"/>
        <w:spacing w:before="120" w:after="120"/>
        <w:jc w:val="both"/>
        <w:rPr>
          <w:b/>
          <w:bCs/>
          <w:sz w:val="23"/>
          <w:szCs w:val="23"/>
        </w:rPr>
      </w:pPr>
      <w:r w:rsidRPr="0072139A">
        <w:rPr>
          <w:sz w:val="23"/>
          <w:szCs w:val="23"/>
        </w:rPr>
        <w:t xml:space="preserve">Termín ukončení aukce je stanoven do 16:00 hod. příslušného dne. </w:t>
      </w:r>
    </w:p>
    <w:p w:rsidR="001F56FB" w:rsidRPr="0072139A" w:rsidRDefault="001F56FB" w:rsidP="001F56FB">
      <w:pPr>
        <w:pStyle w:val="Default"/>
        <w:spacing w:before="120" w:after="120"/>
        <w:jc w:val="both"/>
        <w:rPr>
          <w:sz w:val="23"/>
          <w:szCs w:val="23"/>
        </w:rPr>
      </w:pPr>
      <w:r w:rsidRPr="0072139A">
        <w:rPr>
          <w:b/>
          <w:bCs/>
          <w:sz w:val="23"/>
          <w:szCs w:val="23"/>
        </w:rPr>
        <w:t>3. Způsob zabezpečené elektronické komunika</w:t>
      </w:r>
      <w:bookmarkStart w:id="0" w:name="_GoBack"/>
      <w:bookmarkEnd w:id="0"/>
      <w:r w:rsidRPr="0072139A">
        <w:rPr>
          <w:b/>
          <w:bCs/>
          <w:sz w:val="23"/>
          <w:szCs w:val="23"/>
        </w:rPr>
        <w:t xml:space="preserve">ce a alternativní komunikace </w:t>
      </w:r>
    </w:p>
    <w:p w:rsidR="001F56FB" w:rsidRPr="0072139A" w:rsidRDefault="001F56FB" w:rsidP="001F56FB">
      <w:pPr>
        <w:pStyle w:val="Default"/>
        <w:spacing w:before="120" w:after="120"/>
        <w:jc w:val="both"/>
        <w:rPr>
          <w:sz w:val="23"/>
          <w:szCs w:val="23"/>
        </w:rPr>
      </w:pPr>
      <w:r w:rsidRPr="0072139A">
        <w:rPr>
          <w:sz w:val="23"/>
          <w:szCs w:val="23"/>
        </w:rPr>
        <w:t xml:space="preserve">Aukce bude organizována prostřednictvím zabezpečeného internetového rozhraní, které je přístupné z internetových stránek provozovatele zásobníku plynu MND Gas Storage a.s. </w:t>
      </w:r>
      <w:hyperlink r:id="rId7" w:history="1">
        <w:r w:rsidRPr="0072139A">
          <w:rPr>
            <w:rStyle w:val="Hypertextovodkaz"/>
            <w:sz w:val="23"/>
            <w:szCs w:val="23"/>
          </w:rPr>
          <w:t>www.gasstorage.cz</w:t>
        </w:r>
      </w:hyperlink>
      <w:r w:rsidRPr="0072139A">
        <w:rPr>
          <w:sz w:val="23"/>
          <w:szCs w:val="23"/>
        </w:rPr>
        <w:t xml:space="preserve"> (dle obrazových pokynů). </w:t>
      </w:r>
    </w:p>
    <w:p w:rsidR="001F56FB" w:rsidRPr="0072139A" w:rsidRDefault="001F56FB" w:rsidP="001F56FB">
      <w:pPr>
        <w:pStyle w:val="Smlouvaodstavec"/>
        <w:numPr>
          <w:ilvl w:val="0"/>
          <w:numId w:val="0"/>
        </w:numPr>
        <w:spacing w:before="120" w:after="120"/>
        <w:rPr>
          <w:rFonts w:ascii="Calibri" w:hAnsi="Calibri" w:cs="Calibri"/>
          <w:sz w:val="23"/>
          <w:szCs w:val="23"/>
        </w:rPr>
      </w:pPr>
      <w:r w:rsidRPr="0072139A">
        <w:rPr>
          <w:rFonts w:ascii="Calibri" w:hAnsi="Calibri" w:cs="Calibri"/>
          <w:sz w:val="23"/>
          <w:szCs w:val="23"/>
        </w:rPr>
        <w:t>V případě, že dojde k selhání aukčního systému (portálu) skladovatele, skladovatel tuto skutečnost oznámí vhodným způsobem aktivním žadatelům bez zbytečného odkladu od doby, kdy se o této skutečnosti dozví. Po dobu tohoto selhání je aukce přerušena a pokračování v aukci skladovatel oznámí vhodným způsobem aktivním žadatelům nejpozději 30 min. před jejím pokračováním. Aukce může pokračovat od posledního kola, které proběhlo řádně a podařilo se zachytit (uložit) v aukčním systému nebo znovu prvním kolem (pokud nejsou dostupné nebo použitelné informace z uskutečněných kol aukce).</w:t>
      </w:r>
    </w:p>
    <w:p w:rsidR="001F56FB" w:rsidRPr="0072139A" w:rsidRDefault="001F56FB" w:rsidP="001F56FB">
      <w:pPr>
        <w:pStyle w:val="Smlouvaodstavec"/>
        <w:numPr>
          <w:ilvl w:val="0"/>
          <w:numId w:val="0"/>
        </w:numPr>
        <w:spacing w:before="120" w:after="120"/>
        <w:rPr>
          <w:rFonts w:ascii="Calibri" w:hAnsi="Calibri" w:cs="Calibri"/>
          <w:sz w:val="23"/>
          <w:szCs w:val="23"/>
        </w:rPr>
      </w:pPr>
      <w:r w:rsidRPr="0072139A">
        <w:rPr>
          <w:rFonts w:ascii="Calibri" w:hAnsi="Calibri" w:cs="Calibri"/>
          <w:sz w:val="23"/>
          <w:szCs w:val="23"/>
        </w:rPr>
        <w:t xml:space="preserve">Pokud se skladovateli nepodaří aukční systém zprovoznit do 5. pracovních dnů od jeho selhání, nebo do 50. pracovního dne před prvním dnem skladovacího období, na které je aukce vyhlášena, je skladovatel oprávněn aukci přerušit na dobu max. 30 kalendářních dní za účelem odstranění chyby. Termín pokračování aukce zveřejní skladovatel nejpozději 5 pracovních dní před jejím pokračováním. </w:t>
      </w:r>
    </w:p>
    <w:p w:rsidR="001F56FB" w:rsidRPr="0072139A" w:rsidRDefault="001F56FB" w:rsidP="001F56FB">
      <w:pPr>
        <w:pStyle w:val="Default"/>
        <w:spacing w:before="120" w:after="120"/>
        <w:jc w:val="both"/>
        <w:rPr>
          <w:sz w:val="23"/>
          <w:szCs w:val="23"/>
        </w:rPr>
      </w:pPr>
    </w:p>
    <w:p w:rsidR="001F56FB" w:rsidRPr="0072139A" w:rsidRDefault="001F56FB" w:rsidP="001F56FB">
      <w:pPr>
        <w:pStyle w:val="Default"/>
        <w:spacing w:before="120" w:after="120"/>
        <w:jc w:val="both"/>
        <w:rPr>
          <w:sz w:val="23"/>
          <w:szCs w:val="23"/>
        </w:rPr>
      </w:pPr>
      <w:r w:rsidRPr="0072139A">
        <w:rPr>
          <w:sz w:val="23"/>
          <w:szCs w:val="23"/>
        </w:rPr>
        <w:t xml:space="preserve">V případě, že dojde k selhání elektronické komunikace v průběhu aukce ze strany žadatele, lze použít alternativní způsob komunikace prostřednictvím faxu a to prostřednictvím čísla +420 518 315 327 s tím, že aukční požadavek zaslaný tímto způsobem komunikace musí obsahovat následující: </w:t>
      </w:r>
    </w:p>
    <w:p w:rsidR="001F56FB" w:rsidRPr="0072139A" w:rsidRDefault="001F56FB" w:rsidP="001F56FB">
      <w:pPr>
        <w:pStyle w:val="Default"/>
        <w:tabs>
          <w:tab w:val="left" w:pos="1134"/>
        </w:tabs>
        <w:spacing w:before="120" w:after="120"/>
        <w:ind w:left="1134" w:hanging="567"/>
        <w:jc w:val="both"/>
        <w:rPr>
          <w:sz w:val="23"/>
          <w:szCs w:val="23"/>
        </w:rPr>
      </w:pPr>
      <w:r w:rsidRPr="0072139A">
        <w:rPr>
          <w:rFonts w:ascii="Wingdings" w:hAnsi="Wingdings" w:cs="Wingdings"/>
          <w:sz w:val="23"/>
          <w:szCs w:val="23"/>
        </w:rPr>
        <w:t></w:t>
      </w:r>
      <w:r w:rsidRPr="0072139A">
        <w:rPr>
          <w:rFonts w:ascii="Wingdings" w:hAnsi="Wingdings" w:cs="Wingdings"/>
          <w:sz w:val="23"/>
          <w:szCs w:val="23"/>
        </w:rPr>
        <w:t></w:t>
      </w:r>
      <w:r w:rsidRPr="0072139A">
        <w:rPr>
          <w:rFonts w:ascii="Wingdings" w:hAnsi="Wingdings" w:cs="Wingdings"/>
          <w:sz w:val="23"/>
          <w:szCs w:val="23"/>
        </w:rPr>
        <w:tab/>
      </w:r>
      <w:r w:rsidRPr="0072139A">
        <w:rPr>
          <w:sz w:val="23"/>
          <w:szCs w:val="23"/>
        </w:rPr>
        <w:t xml:space="preserve">přesnou identifikaci žadatele, </w:t>
      </w:r>
    </w:p>
    <w:p w:rsidR="001F56FB" w:rsidRPr="0072139A" w:rsidRDefault="001F56FB" w:rsidP="001F56FB">
      <w:pPr>
        <w:pStyle w:val="Default"/>
        <w:tabs>
          <w:tab w:val="left" w:pos="1134"/>
        </w:tabs>
        <w:spacing w:before="120" w:after="120"/>
        <w:ind w:left="1134" w:hanging="567"/>
        <w:jc w:val="both"/>
        <w:rPr>
          <w:sz w:val="23"/>
          <w:szCs w:val="23"/>
        </w:rPr>
      </w:pPr>
      <w:r w:rsidRPr="0072139A">
        <w:rPr>
          <w:rFonts w:ascii="Wingdings" w:hAnsi="Wingdings" w:cs="Wingdings"/>
          <w:sz w:val="23"/>
          <w:szCs w:val="23"/>
        </w:rPr>
        <w:t></w:t>
      </w:r>
      <w:r w:rsidRPr="0072139A">
        <w:rPr>
          <w:rFonts w:ascii="Wingdings" w:hAnsi="Wingdings" w:cs="Wingdings"/>
          <w:sz w:val="23"/>
          <w:szCs w:val="23"/>
        </w:rPr>
        <w:t></w:t>
      </w:r>
      <w:r w:rsidRPr="0072139A">
        <w:rPr>
          <w:rFonts w:ascii="Wingdings" w:hAnsi="Wingdings" w:cs="Wingdings"/>
          <w:sz w:val="23"/>
          <w:szCs w:val="23"/>
        </w:rPr>
        <w:tab/>
      </w:r>
      <w:r w:rsidRPr="0072139A">
        <w:rPr>
          <w:sz w:val="23"/>
          <w:szCs w:val="23"/>
        </w:rPr>
        <w:t xml:space="preserve">označení aukce včetně čísla aukčního kola, pro které je požadavek zadáván, </w:t>
      </w:r>
    </w:p>
    <w:p w:rsidR="001F56FB" w:rsidRPr="0072139A" w:rsidRDefault="001F56FB" w:rsidP="001F56FB">
      <w:pPr>
        <w:pStyle w:val="Default"/>
        <w:tabs>
          <w:tab w:val="left" w:pos="1134"/>
        </w:tabs>
        <w:spacing w:before="120" w:after="120"/>
        <w:ind w:left="1134" w:hanging="567"/>
        <w:jc w:val="both"/>
        <w:rPr>
          <w:sz w:val="23"/>
          <w:szCs w:val="23"/>
        </w:rPr>
      </w:pPr>
      <w:r w:rsidRPr="0072139A">
        <w:rPr>
          <w:rFonts w:ascii="Wingdings" w:hAnsi="Wingdings" w:cs="Wingdings"/>
          <w:sz w:val="23"/>
          <w:szCs w:val="23"/>
        </w:rPr>
        <w:t></w:t>
      </w:r>
      <w:r w:rsidRPr="0072139A">
        <w:rPr>
          <w:rFonts w:ascii="Wingdings" w:hAnsi="Wingdings" w:cs="Wingdings"/>
          <w:sz w:val="23"/>
          <w:szCs w:val="23"/>
        </w:rPr>
        <w:t></w:t>
      </w:r>
      <w:r w:rsidRPr="0072139A">
        <w:rPr>
          <w:rFonts w:ascii="Wingdings" w:hAnsi="Wingdings" w:cs="Wingdings"/>
          <w:sz w:val="23"/>
          <w:szCs w:val="23"/>
        </w:rPr>
        <w:tab/>
      </w:r>
      <w:r w:rsidRPr="0072139A">
        <w:rPr>
          <w:sz w:val="23"/>
          <w:szCs w:val="23"/>
        </w:rPr>
        <w:t xml:space="preserve">výši požadavku na skladovací kapacitu způsobem odpovídajícím podmínkám aukce (formou čísla zaokrouhleného na dvě desetinná místa, které vyjadřuje procentuální podíl z velikosti volné skladovací kapacity), </w:t>
      </w:r>
    </w:p>
    <w:p w:rsidR="001F56FB" w:rsidRPr="0072139A" w:rsidRDefault="001F56FB" w:rsidP="001F56FB">
      <w:pPr>
        <w:pStyle w:val="Default"/>
        <w:tabs>
          <w:tab w:val="left" w:pos="1134"/>
        </w:tabs>
        <w:spacing w:before="120" w:after="120"/>
        <w:ind w:left="1134" w:hanging="567"/>
        <w:jc w:val="both"/>
        <w:rPr>
          <w:sz w:val="23"/>
          <w:szCs w:val="23"/>
        </w:rPr>
      </w:pPr>
      <w:r w:rsidRPr="0072139A">
        <w:rPr>
          <w:rFonts w:ascii="Wingdings" w:hAnsi="Wingdings" w:cs="Wingdings"/>
          <w:sz w:val="23"/>
          <w:szCs w:val="23"/>
        </w:rPr>
        <w:lastRenderedPageBreak/>
        <w:t></w:t>
      </w:r>
      <w:r w:rsidRPr="0072139A">
        <w:rPr>
          <w:rFonts w:ascii="Wingdings" w:hAnsi="Wingdings" w:cs="Wingdings"/>
          <w:sz w:val="23"/>
          <w:szCs w:val="23"/>
        </w:rPr>
        <w:t></w:t>
      </w:r>
      <w:r w:rsidRPr="0072139A">
        <w:rPr>
          <w:rFonts w:ascii="Wingdings" w:hAnsi="Wingdings" w:cs="Wingdings"/>
          <w:sz w:val="23"/>
          <w:szCs w:val="23"/>
        </w:rPr>
        <w:tab/>
      </w:r>
      <w:r w:rsidRPr="0072139A">
        <w:rPr>
          <w:sz w:val="23"/>
          <w:szCs w:val="23"/>
        </w:rPr>
        <w:t xml:space="preserve">podpis oprávněné osoby. </w:t>
      </w:r>
    </w:p>
    <w:p w:rsidR="001F56FB" w:rsidRPr="0072139A" w:rsidRDefault="001F56FB" w:rsidP="001F56FB">
      <w:pPr>
        <w:pStyle w:val="Default"/>
        <w:spacing w:before="120" w:after="120"/>
        <w:jc w:val="both"/>
        <w:rPr>
          <w:sz w:val="23"/>
          <w:szCs w:val="23"/>
        </w:rPr>
      </w:pPr>
      <w:r w:rsidRPr="0072139A">
        <w:rPr>
          <w:sz w:val="23"/>
          <w:szCs w:val="23"/>
        </w:rPr>
        <w:t xml:space="preserve">V případě, že žadatel bude nucen přistoupit k této alternativní komunikaci, je povinen tuto skutečnost oznámit provozovateli zásobníku MND Gas Storage a.s., a to na telefonní číslo +420 518 315 907 s tím, že toto oznámení musí být provedeno nejpozději do konce příslušného aukčního kola (ve kterém k selhání došlo). Pokud žadatel takto neučiní, bude výše požadavku v příslušném aukčním kole (kde hodlal využít alternativní komunikaci) považována za 0. Provozovatel zásobníku plynu MND Gas Storage a.s. má právo, v případě použití alternativní komunikace, aukci přerušit na nezbytně nutnou dobu potřebnou pro náležité zprovoznění alternativní komunikace. </w:t>
      </w:r>
    </w:p>
    <w:p w:rsidR="001F56FB" w:rsidRPr="0072139A" w:rsidRDefault="001F56FB" w:rsidP="001F56FB">
      <w:pPr>
        <w:pStyle w:val="Default"/>
        <w:spacing w:before="120" w:after="120"/>
        <w:jc w:val="both"/>
        <w:rPr>
          <w:sz w:val="23"/>
          <w:szCs w:val="23"/>
        </w:rPr>
      </w:pPr>
    </w:p>
    <w:p w:rsidR="001F56FB" w:rsidRPr="0072139A" w:rsidRDefault="001F56FB" w:rsidP="001F56FB">
      <w:pPr>
        <w:pStyle w:val="Default"/>
        <w:spacing w:before="120" w:after="120"/>
        <w:jc w:val="both"/>
        <w:rPr>
          <w:sz w:val="23"/>
          <w:szCs w:val="23"/>
        </w:rPr>
      </w:pPr>
      <w:r w:rsidRPr="0072139A">
        <w:rPr>
          <w:b/>
          <w:bCs/>
          <w:sz w:val="23"/>
          <w:szCs w:val="23"/>
        </w:rPr>
        <w:t>4. Poskytnutí finančního zajištění</w:t>
      </w:r>
    </w:p>
    <w:p w:rsidR="001F56FB" w:rsidRPr="0072139A" w:rsidRDefault="001F56FB" w:rsidP="001F56FB">
      <w:pPr>
        <w:pStyle w:val="Default"/>
        <w:spacing w:before="120" w:after="120"/>
        <w:jc w:val="both"/>
        <w:rPr>
          <w:sz w:val="23"/>
          <w:szCs w:val="23"/>
        </w:rPr>
      </w:pPr>
      <w:r w:rsidRPr="0072139A">
        <w:rPr>
          <w:sz w:val="23"/>
          <w:szCs w:val="23"/>
        </w:rPr>
        <w:t xml:space="preserve">Výše finančního zajištění je určována podle výše maximálního požadavku žadatele na rezervaci skladovací kapacity v Aukci a stanovuje se ve výši: </w:t>
      </w:r>
    </w:p>
    <w:p w:rsidR="001F56FB" w:rsidRPr="0072139A" w:rsidRDefault="001F56FB" w:rsidP="001F56FB">
      <w:pPr>
        <w:pStyle w:val="Default"/>
        <w:spacing w:before="120" w:after="120"/>
        <w:jc w:val="center"/>
        <w:rPr>
          <w:sz w:val="23"/>
          <w:szCs w:val="23"/>
        </w:rPr>
      </w:pPr>
      <w:r w:rsidRPr="0072139A">
        <w:rPr>
          <w:b/>
          <w:sz w:val="23"/>
          <w:szCs w:val="23"/>
        </w:rPr>
        <w:t>100 Kč za každý požadovaný 1 MWh/den</w:t>
      </w:r>
      <w:r w:rsidRPr="0072139A">
        <w:rPr>
          <w:sz w:val="23"/>
          <w:szCs w:val="23"/>
        </w:rPr>
        <w:t xml:space="preserve"> </w:t>
      </w:r>
      <w:r w:rsidRPr="0072139A">
        <w:rPr>
          <w:b/>
          <w:sz w:val="23"/>
          <w:szCs w:val="23"/>
        </w:rPr>
        <w:t>maximálního vtláčecího výkonu</w:t>
      </w:r>
    </w:p>
    <w:p w:rsidR="001F56FB" w:rsidRPr="0072139A" w:rsidRDefault="001F56FB" w:rsidP="001F56FB">
      <w:pPr>
        <w:pStyle w:val="Default"/>
        <w:spacing w:before="120" w:after="120"/>
        <w:jc w:val="center"/>
        <w:rPr>
          <w:sz w:val="23"/>
          <w:szCs w:val="23"/>
        </w:rPr>
      </w:pPr>
      <w:r w:rsidRPr="0072139A">
        <w:rPr>
          <w:sz w:val="23"/>
          <w:szCs w:val="23"/>
        </w:rPr>
        <w:t>(při požadavku rezervace celého maximálního vtláčecího výkonu = 760 000 Kč).</w:t>
      </w:r>
    </w:p>
    <w:p w:rsidR="001F56FB" w:rsidRPr="0072139A" w:rsidRDefault="001F56FB" w:rsidP="001F56FB">
      <w:pPr>
        <w:pStyle w:val="Default"/>
        <w:spacing w:before="120" w:after="120"/>
        <w:jc w:val="both"/>
        <w:rPr>
          <w:sz w:val="23"/>
          <w:szCs w:val="23"/>
        </w:rPr>
      </w:pPr>
      <w:r w:rsidRPr="0072139A">
        <w:rPr>
          <w:sz w:val="23"/>
          <w:szCs w:val="23"/>
        </w:rPr>
        <w:t>Poskytnutí finančního zajištění je možné:</w:t>
      </w:r>
    </w:p>
    <w:p w:rsidR="001F56FB" w:rsidRPr="0072139A" w:rsidRDefault="001F56FB" w:rsidP="001F56FB">
      <w:pPr>
        <w:pStyle w:val="Default"/>
        <w:numPr>
          <w:ilvl w:val="0"/>
          <w:numId w:val="13"/>
        </w:numPr>
        <w:spacing w:before="120" w:after="120"/>
        <w:jc w:val="both"/>
        <w:rPr>
          <w:sz w:val="23"/>
          <w:szCs w:val="23"/>
        </w:rPr>
      </w:pPr>
      <w:r w:rsidRPr="0072139A">
        <w:rPr>
          <w:sz w:val="23"/>
          <w:szCs w:val="23"/>
        </w:rPr>
        <w:t xml:space="preserve">prostřednictvím předložení originálu bezpodmínečné a neodvolatelné bankovní záruky s částkou ve výši požadované finanční jistoty a platností alespoň do 1. 6. 2018; </w:t>
      </w:r>
    </w:p>
    <w:p w:rsidR="001F56FB" w:rsidRPr="0072139A" w:rsidRDefault="001F56FB" w:rsidP="001F56FB">
      <w:pPr>
        <w:pStyle w:val="Default"/>
        <w:numPr>
          <w:ilvl w:val="0"/>
          <w:numId w:val="13"/>
        </w:numPr>
        <w:spacing w:before="120" w:after="120"/>
        <w:jc w:val="both"/>
        <w:rPr>
          <w:bCs/>
          <w:sz w:val="23"/>
          <w:szCs w:val="23"/>
        </w:rPr>
      </w:pPr>
      <w:r w:rsidRPr="0072139A">
        <w:rPr>
          <w:sz w:val="23"/>
          <w:szCs w:val="23"/>
        </w:rPr>
        <w:t xml:space="preserve">prostřednictvím složení peněžité kauce bankovním převodem na účet skladovatele </w:t>
      </w:r>
      <w:r w:rsidRPr="0072139A">
        <w:rPr>
          <w:bCs/>
          <w:sz w:val="23"/>
          <w:szCs w:val="23"/>
        </w:rPr>
        <w:t xml:space="preserve">číslo: </w:t>
      </w:r>
      <w:r w:rsidRPr="0072139A">
        <w:rPr>
          <w:rFonts w:eastAsia="Times New Roman" w:cs="Times New Roman"/>
        </w:rPr>
        <w:t>17402743/0300</w:t>
      </w:r>
      <w:r w:rsidRPr="0072139A" w:rsidDel="000D79DB">
        <w:rPr>
          <w:bCs/>
          <w:sz w:val="23"/>
          <w:szCs w:val="23"/>
        </w:rPr>
        <w:t xml:space="preserve"> </w:t>
      </w:r>
      <w:r w:rsidRPr="0072139A">
        <w:rPr>
          <w:sz w:val="23"/>
          <w:szCs w:val="23"/>
        </w:rPr>
        <w:t>s variabilním symbolem IČ žadatele (u fyzické osoby bez IČ den, měsíc a rok narození žadatele).</w:t>
      </w:r>
    </w:p>
    <w:p w:rsidR="001F56FB" w:rsidRPr="0072139A" w:rsidRDefault="001F56FB" w:rsidP="001F56FB">
      <w:pPr>
        <w:pStyle w:val="Default"/>
        <w:spacing w:before="120" w:after="120"/>
        <w:jc w:val="both"/>
        <w:rPr>
          <w:bCs/>
          <w:sz w:val="23"/>
          <w:szCs w:val="23"/>
        </w:rPr>
      </w:pPr>
      <w:r w:rsidRPr="0072139A">
        <w:rPr>
          <w:bCs/>
          <w:sz w:val="23"/>
          <w:szCs w:val="23"/>
        </w:rPr>
        <w:t xml:space="preserve">Ve smyslu § 52 odst. 1 Pravidel trhu musí být finanční zajištění složeno nejpozději 2 pracovní dny před vyhlášeným termínem aukce. Za okamžik poskytnutí se v případě bankovní záruky považuje okamžik doručení originálu listiny, a v případě bankovního převodu okamžik připsání finančních prostředků na účet skladovatele. </w:t>
      </w:r>
    </w:p>
    <w:p w:rsidR="001F56FB" w:rsidRPr="0072139A" w:rsidRDefault="001F56FB" w:rsidP="001F56FB">
      <w:pPr>
        <w:pStyle w:val="Default"/>
        <w:spacing w:before="120" w:after="120"/>
        <w:jc w:val="both"/>
        <w:rPr>
          <w:bCs/>
          <w:sz w:val="23"/>
          <w:szCs w:val="23"/>
        </w:rPr>
      </w:pPr>
      <w:r w:rsidRPr="0072139A">
        <w:rPr>
          <w:bCs/>
          <w:sz w:val="23"/>
          <w:szCs w:val="23"/>
        </w:rPr>
        <w:t xml:space="preserve">S ohledem na tyto skutečnosti je potřebné, aby žadatel učinil všechny potřebné kroky vedoucí zajištění připsání finančních prostředků, resp. dodání příslušných listin před 24. 4. 2018, 00:00 (tj. před začátkem dne).  </w:t>
      </w:r>
    </w:p>
    <w:p w:rsidR="001F56FB" w:rsidRPr="0072139A" w:rsidRDefault="001F56FB" w:rsidP="001F56FB">
      <w:pPr>
        <w:pStyle w:val="Default"/>
        <w:spacing w:before="120" w:after="120"/>
        <w:jc w:val="both"/>
        <w:rPr>
          <w:b/>
          <w:bCs/>
          <w:sz w:val="23"/>
          <w:szCs w:val="23"/>
        </w:rPr>
      </w:pPr>
    </w:p>
    <w:p w:rsidR="001F56FB" w:rsidRPr="0072139A" w:rsidRDefault="001F56FB" w:rsidP="001F56FB">
      <w:pPr>
        <w:pStyle w:val="Default"/>
        <w:spacing w:before="120" w:after="120"/>
        <w:jc w:val="both"/>
        <w:rPr>
          <w:sz w:val="23"/>
          <w:szCs w:val="23"/>
        </w:rPr>
      </w:pPr>
      <w:r w:rsidRPr="0072139A">
        <w:rPr>
          <w:b/>
          <w:bCs/>
          <w:sz w:val="23"/>
          <w:szCs w:val="23"/>
        </w:rPr>
        <w:t xml:space="preserve">5. Vzor smlouvy o uskladňování plynu </w:t>
      </w:r>
    </w:p>
    <w:p w:rsidR="001F56FB" w:rsidRPr="0072139A" w:rsidRDefault="001F56FB" w:rsidP="001F56FB">
      <w:pPr>
        <w:pStyle w:val="Default"/>
        <w:spacing w:before="120" w:after="120"/>
        <w:jc w:val="both"/>
        <w:rPr>
          <w:sz w:val="23"/>
          <w:szCs w:val="23"/>
        </w:rPr>
      </w:pPr>
      <w:r w:rsidRPr="0072139A">
        <w:rPr>
          <w:sz w:val="23"/>
          <w:szCs w:val="23"/>
        </w:rPr>
        <w:t>Vzor smlouvy o uskladňování plynu je obsažen v Příloze č. 1 Podmínek aukce a bude s účastníky aukce uzavřena podle postupu uvedeného v Řádu provozovatele. Skladovatelé budou vyzváni k prokázání plnění podmínek finanční způsobilosti dle přílohy č. 1 Řádu. V případě neprokázání plnění podmínek může skladovatel postupovat dle písm. a) odst. B) článku 10, III. části Řádu.</w:t>
      </w:r>
    </w:p>
    <w:p w:rsidR="001F56FB" w:rsidRPr="0072139A" w:rsidRDefault="001F56FB" w:rsidP="001F56FB">
      <w:pPr>
        <w:pStyle w:val="Default"/>
        <w:spacing w:before="120" w:after="120"/>
        <w:jc w:val="both"/>
        <w:rPr>
          <w:sz w:val="23"/>
          <w:szCs w:val="23"/>
        </w:rPr>
      </w:pPr>
    </w:p>
    <w:p w:rsidR="001F56FB" w:rsidRPr="0072139A" w:rsidRDefault="001F56FB" w:rsidP="001F56FB">
      <w:pPr>
        <w:pStyle w:val="Default"/>
        <w:spacing w:before="120" w:after="120"/>
        <w:jc w:val="both"/>
        <w:rPr>
          <w:sz w:val="23"/>
          <w:szCs w:val="23"/>
        </w:rPr>
      </w:pPr>
      <w:r w:rsidRPr="0072139A">
        <w:rPr>
          <w:b/>
          <w:bCs/>
          <w:sz w:val="23"/>
          <w:szCs w:val="23"/>
        </w:rPr>
        <w:t xml:space="preserve">6. Délka trvání smlouvy o uskladňování plynu. </w:t>
      </w:r>
    </w:p>
    <w:p w:rsidR="001F56FB" w:rsidRPr="0072139A" w:rsidRDefault="001F56FB" w:rsidP="001F56FB">
      <w:pPr>
        <w:pStyle w:val="Default"/>
        <w:jc w:val="both"/>
        <w:rPr>
          <w:sz w:val="23"/>
          <w:szCs w:val="23"/>
        </w:rPr>
      </w:pPr>
      <w:r w:rsidRPr="0072139A">
        <w:rPr>
          <w:sz w:val="23"/>
          <w:szCs w:val="23"/>
        </w:rPr>
        <w:t xml:space="preserve">Smlouva o uskladňování plynu pro rezervaci měsíční skladovací kapacity s pevným výkonem bude uzavírána na dobu účinnosti od 1. 5. 2018, 06:00 hod. do 1. 4. 2020, 06:00 hod. </w:t>
      </w:r>
    </w:p>
    <w:p w:rsidR="001F56FB" w:rsidRPr="0072139A" w:rsidRDefault="001F56FB" w:rsidP="001F56FB">
      <w:pPr>
        <w:pStyle w:val="Default"/>
        <w:spacing w:before="120" w:after="120"/>
        <w:jc w:val="both"/>
        <w:rPr>
          <w:b/>
          <w:bCs/>
          <w:sz w:val="23"/>
          <w:szCs w:val="23"/>
        </w:rPr>
      </w:pPr>
    </w:p>
    <w:p w:rsidR="001F56FB" w:rsidRPr="0072139A" w:rsidRDefault="001F56FB" w:rsidP="001F56FB">
      <w:pPr>
        <w:pStyle w:val="Default"/>
        <w:spacing w:before="120" w:after="120"/>
        <w:jc w:val="both"/>
        <w:rPr>
          <w:sz w:val="23"/>
          <w:szCs w:val="23"/>
        </w:rPr>
      </w:pPr>
      <w:r w:rsidRPr="0072139A">
        <w:rPr>
          <w:b/>
          <w:bCs/>
          <w:sz w:val="23"/>
          <w:szCs w:val="23"/>
        </w:rPr>
        <w:t xml:space="preserve">7. Velikost volné (nabízené) skladovací kapacity </w:t>
      </w:r>
    </w:p>
    <w:p w:rsidR="001F56FB" w:rsidRPr="0072139A" w:rsidRDefault="001F56FB" w:rsidP="001F56FB">
      <w:pPr>
        <w:pStyle w:val="Default"/>
        <w:spacing w:before="120" w:after="120"/>
        <w:jc w:val="both"/>
        <w:rPr>
          <w:sz w:val="23"/>
          <w:szCs w:val="23"/>
        </w:rPr>
      </w:pPr>
      <w:r w:rsidRPr="0072139A">
        <w:rPr>
          <w:sz w:val="23"/>
          <w:szCs w:val="23"/>
        </w:rPr>
        <w:t xml:space="preserve">Konečná celková nabízená skladovací kapacita: </w:t>
      </w:r>
    </w:p>
    <w:p w:rsidR="001F56FB" w:rsidRPr="0072139A" w:rsidRDefault="001F56FB" w:rsidP="001F56FB">
      <w:pPr>
        <w:pStyle w:val="Default"/>
        <w:numPr>
          <w:ilvl w:val="0"/>
          <w:numId w:val="12"/>
        </w:numPr>
        <w:spacing w:before="120" w:after="120"/>
        <w:jc w:val="both"/>
        <w:rPr>
          <w:sz w:val="23"/>
          <w:szCs w:val="23"/>
        </w:rPr>
      </w:pPr>
      <w:r w:rsidRPr="0072139A">
        <w:rPr>
          <w:sz w:val="23"/>
          <w:szCs w:val="23"/>
        </w:rPr>
        <w:lastRenderedPageBreak/>
        <w:t>Celková nabízená skladovací kapacita: 0 GWh</w:t>
      </w:r>
    </w:p>
    <w:p w:rsidR="001F56FB" w:rsidRPr="0072139A" w:rsidRDefault="001F56FB" w:rsidP="001F56FB">
      <w:pPr>
        <w:pStyle w:val="Default"/>
        <w:numPr>
          <w:ilvl w:val="0"/>
          <w:numId w:val="12"/>
        </w:numPr>
        <w:spacing w:before="120" w:after="120"/>
        <w:jc w:val="both"/>
        <w:rPr>
          <w:sz w:val="23"/>
          <w:szCs w:val="23"/>
        </w:rPr>
      </w:pPr>
      <w:r w:rsidRPr="0072139A">
        <w:rPr>
          <w:sz w:val="23"/>
          <w:szCs w:val="23"/>
        </w:rPr>
        <w:t xml:space="preserve">Vtláčecí výkon: 7 600  MWh/den  </w:t>
      </w:r>
    </w:p>
    <w:p w:rsidR="001F56FB" w:rsidRPr="0072139A" w:rsidRDefault="001F56FB" w:rsidP="001F56FB">
      <w:pPr>
        <w:pStyle w:val="Default"/>
        <w:numPr>
          <w:ilvl w:val="0"/>
          <w:numId w:val="12"/>
        </w:numPr>
        <w:spacing w:before="120" w:after="120"/>
        <w:jc w:val="both"/>
        <w:rPr>
          <w:sz w:val="23"/>
          <w:szCs w:val="23"/>
        </w:rPr>
      </w:pPr>
      <w:r w:rsidRPr="0072139A">
        <w:rPr>
          <w:sz w:val="23"/>
          <w:szCs w:val="23"/>
        </w:rPr>
        <w:t xml:space="preserve">Těžební výkon: 0  MWh/den  </w:t>
      </w:r>
    </w:p>
    <w:p w:rsidR="001F56FB" w:rsidRPr="0072139A" w:rsidRDefault="001F56FB" w:rsidP="001F56FB">
      <w:pPr>
        <w:pStyle w:val="Default"/>
        <w:spacing w:before="120" w:after="120"/>
        <w:jc w:val="both"/>
        <w:rPr>
          <w:b/>
          <w:bCs/>
          <w:sz w:val="23"/>
          <w:szCs w:val="23"/>
        </w:rPr>
      </w:pPr>
    </w:p>
    <w:p w:rsidR="001F56FB" w:rsidRPr="0072139A" w:rsidRDefault="001F56FB" w:rsidP="001F56FB">
      <w:pPr>
        <w:pStyle w:val="Default"/>
        <w:spacing w:before="120" w:after="120"/>
        <w:jc w:val="both"/>
        <w:rPr>
          <w:sz w:val="23"/>
          <w:szCs w:val="23"/>
        </w:rPr>
      </w:pPr>
      <w:r w:rsidRPr="0072139A">
        <w:rPr>
          <w:b/>
          <w:bCs/>
          <w:sz w:val="23"/>
          <w:szCs w:val="23"/>
        </w:rPr>
        <w:t xml:space="preserve">8. Velikost navýšení ceny mezi aukčními koly </w:t>
      </w:r>
    </w:p>
    <w:p w:rsidR="001F56FB" w:rsidRPr="0072139A" w:rsidRDefault="001F56FB" w:rsidP="001F56FB">
      <w:pPr>
        <w:spacing w:before="120" w:after="120"/>
        <w:jc w:val="both"/>
        <w:rPr>
          <w:sz w:val="23"/>
          <w:szCs w:val="23"/>
        </w:rPr>
      </w:pPr>
      <w:r w:rsidRPr="0072139A">
        <w:rPr>
          <w:sz w:val="23"/>
          <w:szCs w:val="23"/>
        </w:rPr>
        <w:t>V průběhu celé aukce bude mezi aukčními koly velikost navýšení ceny za 1 MWh/den vtláčecího výkonu rovna + 0,10 Kč.</w:t>
      </w:r>
    </w:p>
    <w:p w:rsidR="001F56FB" w:rsidRPr="0072139A" w:rsidRDefault="001F56FB" w:rsidP="001F56FB">
      <w:pPr>
        <w:spacing w:before="120" w:after="120"/>
        <w:jc w:val="both"/>
        <w:rPr>
          <w:b/>
          <w:sz w:val="23"/>
          <w:szCs w:val="23"/>
        </w:rPr>
      </w:pPr>
    </w:p>
    <w:p w:rsidR="001F56FB" w:rsidRPr="0072139A" w:rsidRDefault="001F56FB" w:rsidP="001F56FB">
      <w:pPr>
        <w:pStyle w:val="Default"/>
        <w:spacing w:before="120" w:after="120"/>
        <w:jc w:val="both"/>
        <w:rPr>
          <w:sz w:val="23"/>
          <w:szCs w:val="23"/>
        </w:rPr>
      </w:pPr>
      <w:r w:rsidRPr="0072139A">
        <w:rPr>
          <w:b/>
          <w:bCs/>
          <w:sz w:val="23"/>
          <w:szCs w:val="23"/>
        </w:rPr>
        <w:t xml:space="preserve">9. Doba rezervace skladovací kapacity </w:t>
      </w:r>
    </w:p>
    <w:p w:rsidR="001F56FB" w:rsidRPr="0072139A" w:rsidRDefault="001F56FB" w:rsidP="001F56FB">
      <w:pPr>
        <w:pStyle w:val="Default"/>
        <w:spacing w:before="120" w:after="120"/>
        <w:jc w:val="both"/>
        <w:rPr>
          <w:b/>
          <w:bCs/>
          <w:sz w:val="23"/>
          <w:szCs w:val="23"/>
        </w:rPr>
      </w:pPr>
      <w:r w:rsidRPr="0072139A">
        <w:rPr>
          <w:sz w:val="23"/>
          <w:szCs w:val="23"/>
        </w:rPr>
        <w:t>Doba rezervace skladovací kapacity je 23 plynárenských měsíců.</w:t>
      </w:r>
    </w:p>
    <w:p w:rsidR="001F56FB" w:rsidRPr="0072139A" w:rsidRDefault="001F56FB" w:rsidP="001F56FB">
      <w:pPr>
        <w:pStyle w:val="Default"/>
        <w:spacing w:before="120" w:after="120"/>
        <w:jc w:val="both"/>
        <w:rPr>
          <w:b/>
          <w:bCs/>
          <w:sz w:val="23"/>
          <w:szCs w:val="23"/>
        </w:rPr>
      </w:pPr>
    </w:p>
    <w:p w:rsidR="001F56FB" w:rsidRPr="0072139A" w:rsidRDefault="001F56FB" w:rsidP="001F56FB">
      <w:pPr>
        <w:pStyle w:val="Default"/>
        <w:spacing w:before="120" w:after="120"/>
        <w:jc w:val="both"/>
        <w:rPr>
          <w:b/>
          <w:bCs/>
          <w:sz w:val="23"/>
          <w:szCs w:val="23"/>
        </w:rPr>
      </w:pPr>
      <w:r w:rsidRPr="0072139A">
        <w:rPr>
          <w:b/>
          <w:bCs/>
          <w:sz w:val="23"/>
          <w:szCs w:val="23"/>
        </w:rPr>
        <w:t xml:space="preserve">10. Časový harmonogram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4527"/>
      </w:tblGrid>
      <w:tr w:rsidR="001F56FB" w:rsidRPr="0072139A" w:rsidTr="00686B1B">
        <w:tc>
          <w:tcPr>
            <w:tcW w:w="4427" w:type="dxa"/>
          </w:tcPr>
          <w:p w:rsidR="001F56FB" w:rsidRPr="0072139A" w:rsidRDefault="001F56FB" w:rsidP="00686B1B">
            <w:pPr>
              <w:pStyle w:val="Default"/>
              <w:spacing w:before="120" w:after="120"/>
              <w:rPr>
                <w:i/>
                <w:sz w:val="23"/>
                <w:szCs w:val="23"/>
              </w:rPr>
            </w:pPr>
            <w:r w:rsidRPr="0072139A">
              <w:rPr>
                <w:bCs/>
                <w:i/>
                <w:sz w:val="23"/>
                <w:szCs w:val="23"/>
              </w:rPr>
              <w:t>do 24. 4. 2018, 00:00 hod.</w:t>
            </w:r>
          </w:p>
        </w:tc>
        <w:tc>
          <w:tcPr>
            <w:tcW w:w="4527" w:type="dxa"/>
          </w:tcPr>
          <w:p w:rsidR="001F56FB" w:rsidRPr="0072139A" w:rsidRDefault="001F56FB" w:rsidP="00686B1B">
            <w:pPr>
              <w:pStyle w:val="Default"/>
              <w:spacing w:before="120" w:after="120"/>
              <w:jc w:val="both"/>
              <w:rPr>
                <w:sz w:val="23"/>
                <w:szCs w:val="23"/>
              </w:rPr>
            </w:pPr>
            <w:r w:rsidRPr="0072139A">
              <w:rPr>
                <w:sz w:val="23"/>
                <w:szCs w:val="23"/>
              </w:rPr>
              <w:t>Poskytnutí finančního zajištění</w:t>
            </w:r>
          </w:p>
        </w:tc>
      </w:tr>
      <w:tr w:rsidR="001F56FB" w:rsidRPr="0072139A" w:rsidTr="00686B1B">
        <w:tc>
          <w:tcPr>
            <w:tcW w:w="4427" w:type="dxa"/>
          </w:tcPr>
          <w:p w:rsidR="001F56FB" w:rsidRPr="0072139A" w:rsidRDefault="001F56FB" w:rsidP="00686B1B">
            <w:pPr>
              <w:pStyle w:val="Default"/>
              <w:spacing w:before="120" w:after="120"/>
              <w:rPr>
                <w:i/>
                <w:sz w:val="23"/>
                <w:szCs w:val="23"/>
              </w:rPr>
            </w:pPr>
            <w:r w:rsidRPr="0072139A">
              <w:rPr>
                <w:bCs/>
                <w:i/>
                <w:sz w:val="23"/>
                <w:szCs w:val="23"/>
              </w:rPr>
              <w:t>do 25. 4. 2018, 18:00 hod.</w:t>
            </w:r>
          </w:p>
        </w:tc>
        <w:tc>
          <w:tcPr>
            <w:tcW w:w="4527" w:type="dxa"/>
          </w:tcPr>
          <w:p w:rsidR="001F56FB" w:rsidRPr="0072139A" w:rsidRDefault="001F56FB" w:rsidP="00686B1B">
            <w:pPr>
              <w:pStyle w:val="Default"/>
              <w:spacing w:before="120" w:after="120"/>
              <w:jc w:val="both"/>
              <w:rPr>
                <w:sz w:val="23"/>
                <w:szCs w:val="23"/>
              </w:rPr>
            </w:pPr>
            <w:r w:rsidRPr="0072139A">
              <w:rPr>
                <w:sz w:val="23"/>
                <w:szCs w:val="23"/>
              </w:rPr>
              <w:t>Registrace žadatelů pro účast v Aukci</w:t>
            </w:r>
          </w:p>
        </w:tc>
      </w:tr>
      <w:tr w:rsidR="001F56FB" w:rsidRPr="0072139A" w:rsidTr="00686B1B">
        <w:tc>
          <w:tcPr>
            <w:tcW w:w="4427" w:type="dxa"/>
          </w:tcPr>
          <w:p w:rsidR="001F56FB" w:rsidRPr="0072139A" w:rsidRDefault="001F56FB" w:rsidP="00686B1B">
            <w:pPr>
              <w:pStyle w:val="Default"/>
              <w:spacing w:before="120" w:after="120"/>
              <w:rPr>
                <w:i/>
                <w:sz w:val="23"/>
                <w:szCs w:val="23"/>
              </w:rPr>
            </w:pPr>
            <w:r w:rsidRPr="0072139A">
              <w:rPr>
                <w:bCs/>
                <w:i/>
                <w:sz w:val="23"/>
                <w:szCs w:val="23"/>
              </w:rPr>
              <w:t>26. 4. 2018, od 13:00 hod.</w:t>
            </w:r>
          </w:p>
        </w:tc>
        <w:tc>
          <w:tcPr>
            <w:tcW w:w="4527" w:type="dxa"/>
          </w:tcPr>
          <w:p w:rsidR="001F56FB" w:rsidRPr="0072139A" w:rsidRDefault="001F56FB" w:rsidP="00686B1B">
            <w:pPr>
              <w:pStyle w:val="Default"/>
              <w:spacing w:before="120" w:after="120"/>
              <w:jc w:val="both"/>
              <w:rPr>
                <w:sz w:val="23"/>
                <w:szCs w:val="23"/>
              </w:rPr>
            </w:pPr>
            <w:r w:rsidRPr="0072139A">
              <w:rPr>
                <w:sz w:val="23"/>
                <w:szCs w:val="23"/>
              </w:rPr>
              <w:t>Průběh Aukce</w:t>
            </w:r>
          </w:p>
        </w:tc>
      </w:tr>
      <w:tr w:rsidR="001F56FB" w:rsidRPr="0072139A" w:rsidTr="00686B1B">
        <w:tc>
          <w:tcPr>
            <w:tcW w:w="4427" w:type="dxa"/>
          </w:tcPr>
          <w:p w:rsidR="001F56FB" w:rsidRPr="0072139A" w:rsidRDefault="001F56FB" w:rsidP="00686B1B">
            <w:pPr>
              <w:pStyle w:val="Default"/>
              <w:spacing w:before="120" w:after="120"/>
              <w:rPr>
                <w:i/>
                <w:sz w:val="23"/>
                <w:szCs w:val="23"/>
              </w:rPr>
            </w:pPr>
            <w:r w:rsidRPr="0072139A">
              <w:rPr>
                <w:bCs/>
                <w:i/>
                <w:sz w:val="23"/>
                <w:szCs w:val="23"/>
              </w:rPr>
              <w:t>do 8 pracovních dnů od zaslání potvrzení o rezervaci kapacit pro žadatele</w:t>
            </w:r>
          </w:p>
        </w:tc>
        <w:tc>
          <w:tcPr>
            <w:tcW w:w="4527" w:type="dxa"/>
          </w:tcPr>
          <w:p w:rsidR="001F56FB" w:rsidRPr="0072139A" w:rsidRDefault="001F56FB" w:rsidP="00686B1B">
            <w:pPr>
              <w:pStyle w:val="Default"/>
              <w:spacing w:before="120" w:after="120"/>
              <w:jc w:val="both"/>
              <w:rPr>
                <w:sz w:val="23"/>
                <w:szCs w:val="23"/>
              </w:rPr>
            </w:pPr>
            <w:r w:rsidRPr="0072139A">
              <w:rPr>
                <w:sz w:val="23"/>
                <w:szCs w:val="23"/>
              </w:rPr>
              <w:t>Zaslání smlouvy o uskladňování plynu žadateli s přidělenou kapacitou</w:t>
            </w:r>
          </w:p>
        </w:tc>
      </w:tr>
      <w:tr w:rsidR="001F56FB" w:rsidRPr="0072139A" w:rsidTr="00686B1B">
        <w:tc>
          <w:tcPr>
            <w:tcW w:w="4427" w:type="dxa"/>
          </w:tcPr>
          <w:p w:rsidR="001F56FB" w:rsidRPr="0072139A" w:rsidRDefault="001F56FB" w:rsidP="00686B1B">
            <w:pPr>
              <w:pStyle w:val="Default"/>
              <w:spacing w:before="120" w:after="120"/>
              <w:rPr>
                <w:bCs/>
                <w:i/>
                <w:sz w:val="23"/>
                <w:szCs w:val="23"/>
              </w:rPr>
            </w:pPr>
            <w:r w:rsidRPr="0072139A">
              <w:rPr>
                <w:bCs/>
                <w:i/>
                <w:sz w:val="23"/>
                <w:szCs w:val="23"/>
              </w:rPr>
              <w:t xml:space="preserve">do 10 dnů od ukončení Aukce </w:t>
            </w:r>
          </w:p>
          <w:p w:rsidR="001F56FB" w:rsidRPr="0072139A" w:rsidRDefault="001F56FB" w:rsidP="00686B1B">
            <w:pPr>
              <w:pStyle w:val="Default"/>
              <w:spacing w:before="120" w:after="120"/>
              <w:rPr>
                <w:i/>
                <w:sz w:val="23"/>
                <w:szCs w:val="23"/>
              </w:rPr>
            </w:pPr>
            <w:r w:rsidRPr="0072139A">
              <w:rPr>
                <w:bCs/>
                <w:i/>
                <w:sz w:val="23"/>
                <w:szCs w:val="23"/>
              </w:rPr>
              <w:t>(pokud kapacita nebyla žadateli přidělena)</w:t>
            </w:r>
          </w:p>
        </w:tc>
        <w:tc>
          <w:tcPr>
            <w:tcW w:w="4527" w:type="dxa"/>
          </w:tcPr>
          <w:p w:rsidR="001F56FB" w:rsidRPr="0072139A" w:rsidRDefault="001F56FB" w:rsidP="00686B1B">
            <w:pPr>
              <w:pStyle w:val="Default"/>
              <w:spacing w:before="120" w:after="120"/>
              <w:jc w:val="both"/>
              <w:rPr>
                <w:sz w:val="23"/>
                <w:szCs w:val="23"/>
              </w:rPr>
            </w:pPr>
            <w:r w:rsidRPr="0072139A">
              <w:rPr>
                <w:sz w:val="23"/>
                <w:szCs w:val="23"/>
              </w:rPr>
              <w:t>Vrácení finančního zajištění</w:t>
            </w:r>
          </w:p>
        </w:tc>
      </w:tr>
      <w:tr w:rsidR="001F56FB" w:rsidRPr="003725C9" w:rsidTr="00686B1B">
        <w:tc>
          <w:tcPr>
            <w:tcW w:w="4427" w:type="dxa"/>
          </w:tcPr>
          <w:p w:rsidR="001F56FB" w:rsidRPr="0072139A" w:rsidRDefault="001F56FB" w:rsidP="00686B1B">
            <w:pPr>
              <w:pStyle w:val="Default"/>
              <w:spacing w:before="120" w:after="120"/>
              <w:rPr>
                <w:bCs/>
                <w:i/>
                <w:sz w:val="23"/>
                <w:szCs w:val="23"/>
              </w:rPr>
            </w:pPr>
            <w:r w:rsidRPr="0072139A">
              <w:rPr>
                <w:bCs/>
                <w:i/>
                <w:sz w:val="23"/>
                <w:szCs w:val="23"/>
              </w:rPr>
              <w:t xml:space="preserve">do 10 dnů od uzavření smlouvy o uskladňování plynu </w:t>
            </w:r>
          </w:p>
          <w:p w:rsidR="001F56FB" w:rsidRPr="0072139A" w:rsidRDefault="001F56FB" w:rsidP="00686B1B">
            <w:pPr>
              <w:pStyle w:val="Default"/>
              <w:spacing w:before="120" w:after="120"/>
              <w:rPr>
                <w:i/>
                <w:sz w:val="23"/>
                <w:szCs w:val="23"/>
              </w:rPr>
            </w:pPr>
            <w:r w:rsidRPr="0072139A">
              <w:rPr>
                <w:bCs/>
                <w:i/>
                <w:sz w:val="23"/>
                <w:szCs w:val="23"/>
              </w:rPr>
              <w:t>(pro žadatele s rezervovanou kapacitou)</w:t>
            </w:r>
          </w:p>
        </w:tc>
        <w:tc>
          <w:tcPr>
            <w:tcW w:w="4527" w:type="dxa"/>
          </w:tcPr>
          <w:p w:rsidR="001F56FB" w:rsidRPr="00B6296B" w:rsidRDefault="001F56FB" w:rsidP="00686B1B">
            <w:pPr>
              <w:pStyle w:val="Default"/>
              <w:spacing w:before="120" w:after="120"/>
              <w:jc w:val="both"/>
              <w:rPr>
                <w:sz w:val="23"/>
                <w:szCs w:val="23"/>
              </w:rPr>
            </w:pPr>
            <w:r w:rsidRPr="0072139A">
              <w:rPr>
                <w:sz w:val="23"/>
                <w:szCs w:val="23"/>
              </w:rPr>
              <w:t>Vrácení finančního zajištění</w:t>
            </w:r>
          </w:p>
        </w:tc>
      </w:tr>
    </w:tbl>
    <w:p w:rsidR="001F56FB" w:rsidRDefault="001F56FB" w:rsidP="001F56FB">
      <w:pPr>
        <w:pStyle w:val="Default"/>
        <w:spacing w:before="120" w:after="120"/>
        <w:jc w:val="both"/>
        <w:rPr>
          <w:sz w:val="23"/>
          <w:szCs w:val="23"/>
        </w:rPr>
      </w:pPr>
    </w:p>
    <w:p w:rsidR="00A37AEB" w:rsidRPr="00A37AEB" w:rsidRDefault="00A37AEB" w:rsidP="00040089"/>
    <w:sectPr w:rsidR="00A37AEB" w:rsidRPr="00A37AEB" w:rsidSect="00040089">
      <w:headerReference w:type="default" r:id="rId8"/>
      <w:footerReference w:type="default" r:id="rId9"/>
      <w:headerReference w:type="first" r:id="rId10"/>
      <w:footerReference w:type="first" r:id="rId11"/>
      <w:pgSz w:w="11906" w:h="16838" w:code="9"/>
      <w:pgMar w:top="851" w:right="851" w:bottom="397" w:left="851" w:header="851"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CB7" w:rsidRDefault="000E2CB7" w:rsidP="00CA201D">
      <w:r>
        <w:separator/>
      </w:r>
    </w:p>
  </w:endnote>
  <w:endnote w:type="continuationSeparator" w:id="0">
    <w:p w:rsidR="000E2CB7" w:rsidRDefault="000E2CB7" w:rsidP="00CA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1CC" w:rsidRPr="00DC73AE" w:rsidRDefault="003C01CC" w:rsidP="008D6E2D">
    <w:pPr>
      <w:pStyle w:val="Zpat"/>
    </w:pPr>
    <w:r w:rsidRPr="00DC73AE">
      <w:t xml:space="preserve">Strana </w:t>
    </w:r>
    <w:r w:rsidRPr="00DC73AE">
      <w:fldChar w:fldCharType="begin"/>
    </w:r>
    <w:r w:rsidRPr="00DC73AE">
      <w:instrText xml:space="preserve"> PAGE </w:instrText>
    </w:r>
    <w:r w:rsidRPr="00DC73AE">
      <w:fldChar w:fldCharType="separate"/>
    </w:r>
    <w:r w:rsidR="00AA2DF1">
      <w:rPr>
        <w:noProof/>
      </w:rPr>
      <w:t>4</w:t>
    </w:r>
    <w:r w:rsidRPr="00DC73AE">
      <w:fldChar w:fldCharType="end"/>
    </w:r>
    <w:r w:rsidRPr="00DC73AE">
      <w:t xml:space="preserve"> (celkem </w:t>
    </w:r>
    <w:fldSimple w:instr=" NUMPAGES  ">
      <w:r w:rsidR="00AA2DF1">
        <w:rPr>
          <w:noProof/>
        </w:rPr>
        <w:t>4</w:t>
      </w:r>
    </w:fldSimple>
    <w:r w:rsidRPr="00DC73AE">
      <w:t>)</w:t>
    </w:r>
    <w:r w:rsidR="00E36370">
      <w:rPr>
        <w:noProof/>
        <w:lang w:eastAsia="cs-CZ"/>
      </w:rPr>
      <w:drawing>
        <wp:inline distT="0" distB="0" distL="0" distR="0" wp14:anchorId="78BF85BD" wp14:editId="667A9B18">
          <wp:extent cx="6479540" cy="346075"/>
          <wp:effectExtent l="0" t="0" r="0" b="0"/>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rotWithShape="1">
                  <a:blip r:embed="rId1" cstate="print">
                    <a:extLst>
                      <a:ext uri="{28A0092B-C50C-407E-A947-70E740481C1C}">
                        <a14:useLocalDpi xmlns:a14="http://schemas.microsoft.com/office/drawing/2010/main" val="0"/>
                      </a:ext>
                    </a:extLst>
                  </a:blip>
                  <a:srcRect t="61495"/>
                  <a:stretch/>
                </pic:blipFill>
                <pic:spPr bwMode="auto">
                  <a:xfrm>
                    <a:off x="0" y="0"/>
                    <a:ext cx="6479540" cy="34607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01D" w:rsidRPr="008D6E2D" w:rsidRDefault="00E36370" w:rsidP="00464283">
    <w:pPr>
      <w:pStyle w:val="Zpat"/>
      <w:spacing w:before="60"/>
    </w:pPr>
    <w:r>
      <w:rPr>
        <w:noProof/>
        <w:lang w:eastAsia="cs-CZ"/>
      </w:rPr>
      <w:drawing>
        <wp:inline distT="0" distB="0" distL="0" distR="0" wp14:anchorId="653A0FE4" wp14:editId="7F808B5F">
          <wp:extent cx="6479540" cy="346075"/>
          <wp:effectExtent l="0" t="0" r="0" b="0"/>
          <wp:docPr id="4" name="Obrázek 4"/>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rotWithShape="1">
                  <a:blip r:embed="rId1" cstate="print">
                    <a:extLst>
                      <a:ext uri="{28A0092B-C50C-407E-A947-70E740481C1C}">
                        <a14:useLocalDpi xmlns:a14="http://schemas.microsoft.com/office/drawing/2010/main" val="0"/>
                      </a:ext>
                    </a:extLst>
                  </a:blip>
                  <a:srcRect t="61495"/>
                  <a:stretch/>
                </pic:blipFill>
                <pic:spPr bwMode="auto">
                  <a:xfrm>
                    <a:off x="0" y="0"/>
                    <a:ext cx="6479540" cy="34607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CB7" w:rsidRDefault="000E2CB7" w:rsidP="00CA201D">
      <w:r>
        <w:separator/>
      </w:r>
    </w:p>
  </w:footnote>
  <w:footnote w:type="continuationSeparator" w:id="0">
    <w:p w:rsidR="000E2CB7" w:rsidRDefault="000E2CB7" w:rsidP="00CA2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370" w:rsidRDefault="00AA2DF1">
    <w:pPr>
      <w:pStyle w:val="Zhlav"/>
    </w:pPr>
    <w:r>
      <w:rPr>
        <w:noProof/>
        <w:lang w:eastAsia="cs-CZ"/>
      </w:rPr>
      <w:drawing>
        <wp:inline distT="0" distB="0" distL="0" distR="0" wp14:anchorId="182FEC80" wp14:editId="24626D7C">
          <wp:extent cx="6470650" cy="482600"/>
          <wp:effectExtent l="0" t="0" r="6350" b="0"/>
          <wp:docPr id="2" name="obrázek 2" descr="MND_GAS_jen firma"/>
          <wp:cNvGraphicFramePr/>
          <a:graphic xmlns:a="http://schemas.openxmlformats.org/drawingml/2006/main">
            <a:graphicData uri="http://schemas.openxmlformats.org/drawingml/2006/picture">
              <pic:pic xmlns:pic="http://schemas.openxmlformats.org/drawingml/2006/picture">
                <pic:nvPicPr>
                  <pic:cNvPr id="2" name="obrázek 2" descr="MND_GAS_jen firma"/>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0650" cy="4826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1CC" w:rsidRPr="008D6E2D" w:rsidRDefault="001F56FB" w:rsidP="008D6E2D">
    <w:pPr>
      <w:pStyle w:val="Zhlav"/>
    </w:pPr>
    <w:r>
      <w:rPr>
        <w:noProof/>
        <w:lang w:eastAsia="cs-CZ"/>
      </w:rPr>
      <w:drawing>
        <wp:inline distT="0" distB="0" distL="0" distR="0">
          <wp:extent cx="6469380" cy="480060"/>
          <wp:effectExtent l="0" t="0" r="7620" b="0"/>
          <wp:docPr id="1" name="obrázek 1" descr="MND_GAS_jen 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ND_GAS_jen fir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9380" cy="4800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767A7"/>
    <w:multiLevelType w:val="multilevel"/>
    <w:tmpl w:val="8AE2622C"/>
    <w:lvl w:ilvl="0">
      <w:start w:val="1"/>
      <w:numFmt w:val="decimal"/>
      <w:suff w:val="space"/>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lvlText w:val="%1.%3"/>
      <w:lvlJc w:val="left"/>
      <w:pPr>
        <w:tabs>
          <w:tab w:val="num" w:pos="567"/>
        </w:tabs>
        <w:ind w:left="567" w:hanging="567"/>
      </w:pPr>
      <w:rPr>
        <w:rFonts w:hint="default"/>
      </w:rPr>
    </w:lvl>
    <w:lvl w:ilvl="3">
      <w:start w:val="1"/>
      <w:numFmt w:val="lowerLetter"/>
      <w:lvlText w:val="%4)"/>
      <w:lvlJc w:val="left"/>
      <w:pPr>
        <w:tabs>
          <w:tab w:val="num" w:pos="924"/>
        </w:tabs>
        <w:ind w:left="924" w:hanging="357"/>
      </w:pPr>
      <w:rPr>
        <w:rFonts w:hint="default"/>
      </w:rPr>
    </w:lvl>
    <w:lvl w:ilvl="4">
      <w:start w:val="1"/>
      <w:numFmt w:val="lowerRoman"/>
      <w:lvlText w:val="(%5)"/>
      <w:lvlJc w:val="left"/>
      <w:pPr>
        <w:tabs>
          <w:tab w:val="num" w:pos="1304"/>
        </w:tabs>
        <w:ind w:left="1304" w:hanging="380"/>
      </w:pPr>
      <w:rPr>
        <w:rFonts w:hint="default"/>
      </w:rPr>
    </w:lvl>
    <w:lvl w:ilvl="5">
      <w:start w:val="1"/>
      <w:numFmt w:val="none"/>
      <w:suff w:val="nothing"/>
      <w:lvlText w:val=""/>
      <w:lvlJc w:val="left"/>
      <w:pPr>
        <w:ind w:left="1304" w:firstLine="0"/>
      </w:pPr>
      <w:rPr>
        <w:rFonts w:hint="default"/>
      </w:rPr>
    </w:lvl>
    <w:lvl w:ilvl="6">
      <w:start w:val="1"/>
      <w:numFmt w:val="none"/>
      <w:suff w:val="nothing"/>
      <w:lvlText w:val="%7"/>
      <w:lvlJc w:val="left"/>
      <w:pPr>
        <w:ind w:left="1304" w:firstLine="0"/>
      </w:pPr>
      <w:rPr>
        <w:rFonts w:hint="default"/>
      </w:rPr>
    </w:lvl>
    <w:lvl w:ilvl="7">
      <w:start w:val="1"/>
      <w:numFmt w:val="none"/>
      <w:suff w:val="nothing"/>
      <w:lvlText w:val="%8"/>
      <w:lvlJc w:val="left"/>
      <w:pPr>
        <w:ind w:left="1304" w:firstLine="0"/>
      </w:pPr>
      <w:rPr>
        <w:rFonts w:hint="default"/>
      </w:rPr>
    </w:lvl>
    <w:lvl w:ilvl="8">
      <w:start w:val="1"/>
      <w:numFmt w:val="none"/>
      <w:suff w:val="nothing"/>
      <w:lvlText w:val="%9"/>
      <w:lvlJc w:val="left"/>
      <w:pPr>
        <w:ind w:left="1304" w:firstLine="0"/>
      </w:pPr>
      <w:rPr>
        <w:rFonts w:hint="default"/>
      </w:rPr>
    </w:lvl>
  </w:abstractNum>
  <w:abstractNum w:abstractNumId="1" w15:restartNumberingAfterBreak="0">
    <w:nsid w:val="33EC111E"/>
    <w:multiLevelType w:val="hybridMultilevel"/>
    <w:tmpl w:val="BBB83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EC523EC"/>
    <w:multiLevelType w:val="multilevel"/>
    <w:tmpl w:val="46F47D58"/>
    <w:lvl w:ilvl="0">
      <w:start w:val="1"/>
      <w:numFmt w:val="decimal"/>
      <w:suff w:val="space"/>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lvlText w:val="%1.%3"/>
      <w:lvlJc w:val="left"/>
      <w:pPr>
        <w:tabs>
          <w:tab w:val="num" w:pos="567"/>
        </w:tabs>
        <w:ind w:left="567" w:hanging="567"/>
      </w:pPr>
      <w:rPr>
        <w:rFonts w:hint="default"/>
      </w:rPr>
    </w:lvl>
    <w:lvl w:ilvl="3">
      <w:start w:val="1"/>
      <w:numFmt w:val="lowerLetter"/>
      <w:lvlText w:val="%4)"/>
      <w:lvlJc w:val="left"/>
      <w:pPr>
        <w:tabs>
          <w:tab w:val="num" w:pos="924"/>
        </w:tabs>
        <w:ind w:left="924" w:hanging="357"/>
      </w:pPr>
      <w:rPr>
        <w:rFonts w:hint="default"/>
      </w:rPr>
    </w:lvl>
    <w:lvl w:ilvl="4">
      <w:start w:val="1"/>
      <w:numFmt w:val="lowerRoman"/>
      <w:lvlText w:val="(%5)"/>
      <w:lvlJc w:val="left"/>
      <w:pPr>
        <w:tabs>
          <w:tab w:val="num" w:pos="1304"/>
        </w:tabs>
        <w:ind w:left="1304" w:hanging="380"/>
      </w:pPr>
      <w:rPr>
        <w:rFonts w:hint="default"/>
      </w:rPr>
    </w:lvl>
    <w:lvl w:ilvl="5">
      <w:start w:val="1"/>
      <w:numFmt w:val="none"/>
      <w:suff w:val="nothing"/>
      <w:lvlText w:val=""/>
      <w:lvlJc w:val="left"/>
      <w:pPr>
        <w:ind w:left="1304" w:firstLine="0"/>
      </w:pPr>
      <w:rPr>
        <w:rFonts w:hint="default"/>
      </w:rPr>
    </w:lvl>
    <w:lvl w:ilvl="6">
      <w:start w:val="1"/>
      <w:numFmt w:val="none"/>
      <w:suff w:val="nothing"/>
      <w:lvlText w:val="%7"/>
      <w:lvlJc w:val="left"/>
      <w:pPr>
        <w:ind w:left="1304" w:firstLine="0"/>
      </w:pPr>
      <w:rPr>
        <w:rFonts w:hint="default"/>
      </w:rPr>
    </w:lvl>
    <w:lvl w:ilvl="7">
      <w:start w:val="1"/>
      <w:numFmt w:val="none"/>
      <w:suff w:val="nothing"/>
      <w:lvlText w:val="%8"/>
      <w:lvlJc w:val="left"/>
      <w:pPr>
        <w:ind w:left="1304" w:firstLine="0"/>
      </w:pPr>
      <w:rPr>
        <w:rFonts w:hint="default"/>
      </w:rPr>
    </w:lvl>
    <w:lvl w:ilvl="8">
      <w:start w:val="1"/>
      <w:numFmt w:val="none"/>
      <w:suff w:val="nothing"/>
      <w:lvlText w:val="%9"/>
      <w:lvlJc w:val="left"/>
      <w:pPr>
        <w:ind w:left="1304" w:firstLine="0"/>
      </w:pPr>
      <w:rPr>
        <w:rFonts w:hint="default"/>
      </w:rPr>
    </w:lvl>
  </w:abstractNum>
  <w:abstractNum w:abstractNumId="3" w15:restartNumberingAfterBreak="0">
    <w:nsid w:val="581B4B44"/>
    <w:multiLevelType w:val="hybridMultilevel"/>
    <w:tmpl w:val="8738EBA0"/>
    <w:lvl w:ilvl="0" w:tplc="0405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B3917EE"/>
    <w:multiLevelType w:val="multilevel"/>
    <w:tmpl w:val="5C886B90"/>
    <w:lvl w:ilvl="0">
      <w:start w:val="1"/>
      <w:numFmt w:val="decimal"/>
      <w:lvlText w:val="%1."/>
      <w:lvlJc w:val="left"/>
      <w:pPr>
        <w:ind w:left="567" w:hanging="567"/>
      </w:pPr>
      <w:rPr>
        <w:rFonts w:hint="default"/>
        <w:b/>
        <w:i w:val="0"/>
      </w:rPr>
    </w:lvl>
    <w:lvl w:ilvl="1">
      <w:start w:val="1"/>
      <w:numFmt w:val="lowerLetter"/>
      <w:pStyle w:val="Smlouvaodstavec"/>
      <w:lvlText w:val="%2)"/>
      <w:lvlJc w:val="left"/>
      <w:pPr>
        <w:tabs>
          <w:tab w:val="num" w:pos="1827"/>
        </w:tabs>
        <w:ind w:left="1827" w:hanging="567"/>
      </w:pPr>
      <w:rPr>
        <w:rFonts w:hint="default"/>
      </w:rPr>
    </w:lvl>
    <w:lvl w:ilvl="2">
      <w:start w:val="1"/>
      <w:numFmt w:val="bullet"/>
      <w:pStyle w:val="Smlouvapsmeno"/>
      <w:lvlText w:val="-"/>
      <w:lvlJc w:val="left"/>
      <w:pPr>
        <w:tabs>
          <w:tab w:val="num" w:pos="924"/>
        </w:tabs>
        <w:ind w:left="924" w:hanging="357"/>
      </w:pPr>
      <w:rPr>
        <w:rFonts w:ascii="Times New Roman" w:hAnsi="Times New Roman" w:cs="Times New Roman" w:hint="default"/>
      </w:rPr>
    </w:lvl>
    <w:lvl w:ilvl="3">
      <w:start w:val="1"/>
      <w:numFmt w:val="bullet"/>
      <w:lvlText w:val=""/>
      <w:lvlJc w:val="left"/>
      <w:pPr>
        <w:tabs>
          <w:tab w:val="num" w:pos="1080"/>
        </w:tabs>
        <w:ind w:left="107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2"/>
  </w:num>
  <w:num w:numId="2">
    <w:abstractNumId w:val="2"/>
  </w:num>
  <w:num w:numId="3">
    <w:abstractNumId w:val="2"/>
  </w:num>
  <w:num w:numId="4">
    <w:abstractNumId w:val="2"/>
  </w:num>
  <w:num w:numId="5">
    <w:abstractNumId w:val="2"/>
  </w:num>
  <w:num w:numId="6">
    <w:abstractNumId w:val="0"/>
  </w:num>
  <w:num w:numId="7">
    <w:abstractNumId w:val="0"/>
  </w:num>
  <w:num w:numId="8">
    <w:abstractNumId w:val="0"/>
  </w:num>
  <w:num w:numId="9">
    <w:abstractNumId w:val="0"/>
  </w:num>
  <w:num w:numId="10">
    <w:abstractNumId w:val="0"/>
  </w:num>
  <w:num w:numId="11">
    <w:abstractNumId w:val="4"/>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FB"/>
    <w:rsid w:val="00020EA4"/>
    <w:rsid w:val="00040089"/>
    <w:rsid w:val="00042A9F"/>
    <w:rsid w:val="00051653"/>
    <w:rsid w:val="000E2CB7"/>
    <w:rsid w:val="00132F41"/>
    <w:rsid w:val="001C28F5"/>
    <w:rsid w:val="001F56FB"/>
    <w:rsid w:val="0022194C"/>
    <w:rsid w:val="00231CF7"/>
    <w:rsid w:val="0026061D"/>
    <w:rsid w:val="002C199B"/>
    <w:rsid w:val="00384D42"/>
    <w:rsid w:val="00387864"/>
    <w:rsid w:val="003B5712"/>
    <w:rsid w:val="003C01CC"/>
    <w:rsid w:val="003D4D90"/>
    <w:rsid w:val="00443A54"/>
    <w:rsid w:val="00464283"/>
    <w:rsid w:val="004A3490"/>
    <w:rsid w:val="005202BA"/>
    <w:rsid w:val="00556A82"/>
    <w:rsid w:val="00562869"/>
    <w:rsid w:val="005A13B0"/>
    <w:rsid w:val="0061517E"/>
    <w:rsid w:val="00672972"/>
    <w:rsid w:val="00674D1F"/>
    <w:rsid w:val="006B528D"/>
    <w:rsid w:val="006E3A49"/>
    <w:rsid w:val="00747A22"/>
    <w:rsid w:val="00777271"/>
    <w:rsid w:val="00783053"/>
    <w:rsid w:val="008B36C4"/>
    <w:rsid w:val="008D6E2D"/>
    <w:rsid w:val="00902EE9"/>
    <w:rsid w:val="00913F9D"/>
    <w:rsid w:val="00930F7D"/>
    <w:rsid w:val="009C03D3"/>
    <w:rsid w:val="00A27240"/>
    <w:rsid w:val="00A37AEB"/>
    <w:rsid w:val="00A75C21"/>
    <w:rsid w:val="00AA2DF1"/>
    <w:rsid w:val="00AA475B"/>
    <w:rsid w:val="00AA71AF"/>
    <w:rsid w:val="00AB655F"/>
    <w:rsid w:val="00B262C9"/>
    <w:rsid w:val="00B35281"/>
    <w:rsid w:val="00B76521"/>
    <w:rsid w:val="00BB6679"/>
    <w:rsid w:val="00BE5B76"/>
    <w:rsid w:val="00C21A36"/>
    <w:rsid w:val="00C35F01"/>
    <w:rsid w:val="00C55D1D"/>
    <w:rsid w:val="00CA201D"/>
    <w:rsid w:val="00CD29DC"/>
    <w:rsid w:val="00D51D03"/>
    <w:rsid w:val="00D62D00"/>
    <w:rsid w:val="00E36370"/>
    <w:rsid w:val="00E62A8B"/>
    <w:rsid w:val="00F16956"/>
    <w:rsid w:val="00F84D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E27AB-EED0-4067-A5DF-55DD72AE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56FB"/>
    <w:pPr>
      <w:spacing w:after="200" w:line="276" w:lineRule="auto"/>
    </w:pPr>
    <w:rPr>
      <w:rFonts w:eastAsia="Calibri"/>
      <w:sz w:val="22"/>
      <w:szCs w:val="22"/>
      <w:lang w:eastAsia="en-US"/>
    </w:rPr>
  </w:style>
  <w:style w:type="paragraph" w:styleId="Nadpis1">
    <w:name w:val="heading 1"/>
    <w:basedOn w:val="Normln"/>
    <w:next w:val="Normln"/>
    <w:link w:val="Nadpis1Char"/>
    <w:uiPriority w:val="9"/>
    <w:qFormat/>
    <w:rsid w:val="004A3490"/>
    <w:pPr>
      <w:keepNext/>
      <w:keepLines/>
      <w:spacing w:before="480" w:after="240"/>
      <w:outlineLvl w:val="0"/>
    </w:pPr>
    <w:rPr>
      <w:b/>
      <w:bCs/>
      <w:sz w:val="24"/>
      <w:szCs w:val="24"/>
    </w:rPr>
  </w:style>
  <w:style w:type="paragraph" w:styleId="Nadpis2">
    <w:name w:val="heading 2"/>
    <w:basedOn w:val="Normln"/>
    <w:next w:val="Normln"/>
    <w:link w:val="Nadpis2Char"/>
    <w:uiPriority w:val="9"/>
    <w:unhideWhenUsed/>
    <w:qFormat/>
    <w:rsid w:val="00D62D00"/>
    <w:pPr>
      <w:keepNext/>
      <w:keepLines/>
      <w:spacing w:before="200"/>
      <w:outlineLvl w:val="1"/>
    </w:pPr>
    <w:rPr>
      <w:b/>
      <w:bCs/>
      <w:sz w:val="24"/>
      <w:szCs w:val="24"/>
    </w:rPr>
  </w:style>
  <w:style w:type="paragraph" w:styleId="Nadpis3">
    <w:name w:val="heading 3"/>
    <w:basedOn w:val="Normln"/>
    <w:next w:val="Normln"/>
    <w:link w:val="Nadpis3Char"/>
    <w:uiPriority w:val="9"/>
    <w:unhideWhenUsed/>
    <w:qFormat/>
    <w:rsid w:val="00D62D00"/>
    <w:pPr>
      <w:keepNext/>
      <w:keepLines/>
      <w:spacing w:before="20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A3490"/>
    <w:rPr>
      <w:rFonts w:ascii="Trebuchet MS" w:hAnsi="Trebuchet MS"/>
      <w:b/>
      <w:bCs/>
      <w:sz w:val="24"/>
      <w:szCs w:val="24"/>
    </w:rPr>
  </w:style>
  <w:style w:type="character" w:customStyle="1" w:styleId="Nadpis2Char">
    <w:name w:val="Nadpis 2 Char"/>
    <w:link w:val="Nadpis2"/>
    <w:uiPriority w:val="9"/>
    <w:rsid w:val="00D62D00"/>
    <w:rPr>
      <w:b/>
      <w:bCs/>
      <w:sz w:val="24"/>
      <w:szCs w:val="24"/>
    </w:rPr>
  </w:style>
  <w:style w:type="character" w:customStyle="1" w:styleId="Nadpis3Char">
    <w:name w:val="Nadpis 3 Char"/>
    <w:link w:val="Nadpis3"/>
    <w:uiPriority w:val="9"/>
    <w:rsid w:val="00D62D00"/>
    <w:rPr>
      <w:b/>
      <w:bCs/>
      <w:sz w:val="22"/>
      <w:szCs w:val="22"/>
    </w:rPr>
  </w:style>
  <w:style w:type="paragraph" w:styleId="Zhlav">
    <w:name w:val="header"/>
    <w:basedOn w:val="Normln"/>
    <w:link w:val="ZhlavChar"/>
    <w:autoRedefine/>
    <w:rsid w:val="00040089"/>
    <w:rPr>
      <w:rFonts w:cs="Calibri"/>
      <w:szCs w:val="16"/>
    </w:rPr>
  </w:style>
  <w:style w:type="character" w:customStyle="1" w:styleId="ZhlavChar">
    <w:name w:val="Záhlaví Char"/>
    <w:link w:val="Zhlav"/>
    <w:rsid w:val="00040089"/>
    <w:rPr>
      <w:rFonts w:cs="Calibri"/>
      <w:szCs w:val="16"/>
    </w:rPr>
  </w:style>
  <w:style w:type="paragraph" w:styleId="Zpat">
    <w:name w:val="footer"/>
    <w:basedOn w:val="Normln"/>
    <w:link w:val="ZpatChar"/>
    <w:autoRedefine/>
    <w:rsid w:val="00D51D03"/>
    <w:pPr>
      <w:spacing w:before="120"/>
      <w:jc w:val="right"/>
    </w:pPr>
    <w:rPr>
      <w:rFonts w:cs="Calibri"/>
      <w:sz w:val="18"/>
      <w:szCs w:val="16"/>
    </w:rPr>
  </w:style>
  <w:style w:type="character" w:customStyle="1" w:styleId="ZpatChar">
    <w:name w:val="Zápatí Char"/>
    <w:link w:val="Zpat"/>
    <w:rsid w:val="00D51D03"/>
    <w:rPr>
      <w:rFonts w:cs="Calibri"/>
      <w:sz w:val="18"/>
      <w:szCs w:val="16"/>
    </w:rPr>
  </w:style>
  <w:style w:type="paragraph" w:customStyle="1" w:styleId="Adresa">
    <w:name w:val="Adresa"/>
    <w:basedOn w:val="Normln"/>
    <w:qFormat/>
    <w:rsid w:val="00674D1F"/>
    <w:pPr>
      <w:framePr w:hSpace="142" w:wrap="around" w:vAnchor="page" w:hAnchor="page" w:x="6465" w:y="2156"/>
    </w:pPr>
    <w:rPr>
      <w:b/>
    </w:rPr>
  </w:style>
  <w:style w:type="character" w:styleId="Odkaznakoment">
    <w:name w:val="annotation reference"/>
    <w:uiPriority w:val="99"/>
    <w:rsid w:val="00674D1F"/>
    <w:rPr>
      <w:sz w:val="16"/>
      <w:szCs w:val="16"/>
    </w:rPr>
  </w:style>
  <w:style w:type="paragraph" w:styleId="Textkomente">
    <w:name w:val="annotation text"/>
    <w:basedOn w:val="Normln"/>
    <w:link w:val="TextkomenteChar"/>
    <w:uiPriority w:val="99"/>
    <w:rsid w:val="00674D1F"/>
  </w:style>
  <w:style w:type="character" w:customStyle="1" w:styleId="TextkomenteChar">
    <w:name w:val="Text komentáře Char"/>
    <w:link w:val="Textkomente"/>
    <w:uiPriority w:val="99"/>
    <w:rsid w:val="00674D1F"/>
    <w:rPr>
      <w:rFonts w:ascii="Trebuchet MS" w:hAnsi="Trebuchet MS"/>
    </w:rPr>
  </w:style>
  <w:style w:type="paragraph" w:styleId="Textbubliny">
    <w:name w:val="Balloon Text"/>
    <w:basedOn w:val="Normln"/>
    <w:link w:val="TextbublinyChar"/>
    <w:uiPriority w:val="99"/>
    <w:semiHidden/>
    <w:unhideWhenUsed/>
    <w:rsid w:val="00674D1F"/>
    <w:rPr>
      <w:rFonts w:ascii="Tahoma" w:hAnsi="Tahoma" w:cs="Tahoma"/>
      <w:sz w:val="16"/>
      <w:szCs w:val="16"/>
    </w:rPr>
  </w:style>
  <w:style w:type="character" w:customStyle="1" w:styleId="TextbublinyChar">
    <w:name w:val="Text bubliny Char"/>
    <w:link w:val="Textbubliny"/>
    <w:uiPriority w:val="99"/>
    <w:semiHidden/>
    <w:rsid w:val="00674D1F"/>
    <w:rPr>
      <w:rFonts w:ascii="Tahoma" w:hAnsi="Tahoma" w:cs="Tahoma"/>
      <w:sz w:val="16"/>
      <w:szCs w:val="16"/>
    </w:rPr>
  </w:style>
  <w:style w:type="paragraph" w:customStyle="1" w:styleId="Tabulka">
    <w:name w:val="Tabulka"/>
    <w:basedOn w:val="Normln"/>
    <w:qFormat/>
    <w:rsid w:val="0022194C"/>
    <w:pPr>
      <w:framePr w:hSpace="142" w:wrap="around" w:vAnchor="page" w:hAnchor="margin" w:y="5104"/>
      <w:suppressOverlap/>
    </w:pPr>
    <w:rPr>
      <w:sz w:val="18"/>
      <w:szCs w:val="18"/>
    </w:rPr>
  </w:style>
  <w:style w:type="paragraph" w:customStyle="1" w:styleId="Default">
    <w:name w:val="Default"/>
    <w:rsid w:val="001F56FB"/>
    <w:pPr>
      <w:autoSpaceDE w:val="0"/>
      <w:autoSpaceDN w:val="0"/>
      <w:adjustRightInd w:val="0"/>
    </w:pPr>
    <w:rPr>
      <w:rFonts w:eastAsia="Calibri" w:cs="Calibri"/>
      <w:color w:val="000000"/>
      <w:sz w:val="24"/>
      <w:szCs w:val="24"/>
      <w:lang w:eastAsia="en-US"/>
    </w:rPr>
  </w:style>
  <w:style w:type="character" w:styleId="Hypertextovodkaz">
    <w:name w:val="Hyperlink"/>
    <w:uiPriority w:val="99"/>
    <w:unhideWhenUsed/>
    <w:rsid w:val="001F56FB"/>
    <w:rPr>
      <w:color w:val="0000FF"/>
      <w:u w:val="single"/>
    </w:rPr>
  </w:style>
  <w:style w:type="paragraph" w:customStyle="1" w:styleId="Smlouvaodstavec">
    <w:name w:val="Smlouva odstavec"/>
    <w:basedOn w:val="Normln"/>
    <w:rsid w:val="001F56FB"/>
    <w:pPr>
      <w:numPr>
        <w:ilvl w:val="1"/>
        <w:numId w:val="11"/>
      </w:numPr>
      <w:spacing w:before="240" w:after="0" w:line="240" w:lineRule="auto"/>
      <w:jc w:val="both"/>
    </w:pPr>
    <w:rPr>
      <w:rFonts w:ascii="Times New Roman" w:eastAsia="Times New Roman" w:hAnsi="Times New Roman"/>
      <w:sz w:val="24"/>
      <w:szCs w:val="24"/>
      <w:lang w:eastAsia="cs-CZ"/>
    </w:rPr>
  </w:style>
  <w:style w:type="paragraph" w:customStyle="1" w:styleId="Smlouvapsmeno">
    <w:name w:val="Smlouva písmeno"/>
    <w:basedOn w:val="Smlouvaodstavec"/>
    <w:rsid w:val="001F56FB"/>
    <w:pPr>
      <w:numPr>
        <w:ilvl w:val="2"/>
      </w:num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asstorag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sstorage.cz\server\GasStorage\Sablony\MND_GasStorage\Administrativa\MND_GAS_Hlavickovy%20papir%20CZ+IS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MND_GAS_Hlavickovy papir CZ+ISO</Template>
  <TotalTime>2</TotalTime>
  <Pages>4</Pages>
  <Words>1138</Words>
  <Characters>6717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MND Hlavičkový papír (CZ) 2014</vt:lpstr>
    </vt:vector>
  </TitlesOfParts>
  <Company/>
  <LinksUpToDate>false</LinksUpToDate>
  <CharactersWithSpaces>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MND Hlavičkový papír (CZ) 2014</dc:title>
  <dc:subject/>
  <dc:creator>Blažej Radim</dc:creator>
  <cp:keywords/>
  <cp:lastModifiedBy>Lengálová Magda</cp:lastModifiedBy>
  <cp:revision>3</cp:revision>
  <dcterms:created xsi:type="dcterms:W3CDTF">2018-04-10T12:19:00Z</dcterms:created>
  <dcterms:modified xsi:type="dcterms:W3CDTF">2018-04-10T12:44:00Z</dcterms:modified>
</cp:coreProperties>
</file>