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E9" w:rsidRPr="00406CB1" w:rsidRDefault="003756E9" w:rsidP="003756E9">
      <w:pPr>
        <w:widowControl/>
        <w:overflowPunct/>
        <w:autoSpaceDE/>
        <w:autoSpaceDN/>
        <w:adjustRightInd/>
        <w:spacing w:before="0"/>
        <w:jc w:val="center"/>
        <w:textAlignment w:val="auto"/>
        <w:rPr>
          <w:rFonts w:cs="Calibri"/>
          <w:b/>
          <w:bCs/>
          <w:lang w:val="en-GB"/>
        </w:rPr>
      </w:pPr>
      <w:bookmarkStart w:id="0" w:name="_GoBack"/>
      <w:bookmarkEnd w:id="0"/>
    </w:p>
    <w:p w:rsidR="00EB7C1D" w:rsidRPr="00406CB1" w:rsidRDefault="00EB7C1D"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Legal disclaimer</w:t>
      </w:r>
    </w:p>
    <w:p w:rsidR="00EB7C1D" w:rsidRPr="00406CB1" w:rsidRDefault="00EB7C1D" w:rsidP="003756E9">
      <w:pPr>
        <w:widowControl/>
        <w:overflowPunct/>
        <w:autoSpaceDE/>
        <w:autoSpaceDN/>
        <w:adjustRightInd/>
        <w:spacing w:before="0"/>
        <w:jc w:val="center"/>
        <w:textAlignment w:val="auto"/>
        <w:rPr>
          <w:rFonts w:cs="Calibri"/>
          <w:b/>
          <w:bCs/>
          <w:lang w:val="en-GB"/>
        </w:rPr>
      </w:pPr>
    </w:p>
    <w:p w:rsidR="000B0769" w:rsidRPr="00406CB1" w:rsidRDefault="00EB7C1D" w:rsidP="00C94B9C">
      <w:pPr>
        <w:rPr>
          <w:lang w:val="en-GB"/>
        </w:rPr>
      </w:pPr>
      <w:r w:rsidRPr="00406CB1">
        <w:rPr>
          <w:lang w:val="en-GB"/>
        </w:rPr>
        <w:t xml:space="preserve">The </w:t>
      </w:r>
      <w:r w:rsidR="000B0769" w:rsidRPr="00406CB1">
        <w:rPr>
          <w:lang w:val="en-GB"/>
        </w:rPr>
        <w:t>content of th</w:t>
      </w:r>
      <w:r w:rsidR="00C94B9C" w:rsidRPr="00406CB1">
        <w:rPr>
          <w:lang w:val="en-GB"/>
        </w:rPr>
        <w:t>is</w:t>
      </w:r>
      <w:r w:rsidR="000B0769" w:rsidRPr="00406CB1">
        <w:rPr>
          <w:lang w:val="en-GB"/>
        </w:rPr>
        <w:t xml:space="preserve"> storage contract is governed by the Czech law, as the provision of services of the </w:t>
      </w:r>
      <w:r w:rsidR="00C94B9C" w:rsidRPr="00406CB1">
        <w:rPr>
          <w:lang w:val="en-GB"/>
        </w:rPr>
        <w:t xml:space="preserve">gas </w:t>
      </w:r>
      <w:r w:rsidR="000B0769" w:rsidRPr="00406CB1">
        <w:rPr>
          <w:lang w:val="en-GB"/>
        </w:rPr>
        <w:t xml:space="preserve">storage operator </w:t>
      </w:r>
      <w:r w:rsidR="00EE6E86" w:rsidRPr="00406CB1">
        <w:rPr>
          <w:lang w:val="en-GB"/>
        </w:rPr>
        <w:t xml:space="preserve">is </w:t>
      </w:r>
      <w:r w:rsidR="000B0769" w:rsidRPr="00406CB1">
        <w:rPr>
          <w:lang w:val="en-GB"/>
        </w:rPr>
        <w:t>regulated by Act No. 458/2000 Coll., Energy Act</w:t>
      </w:r>
      <w:r w:rsidR="00EE6E86" w:rsidRPr="00406CB1">
        <w:rPr>
          <w:lang w:val="en-GB"/>
        </w:rPr>
        <w:t xml:space="preserve">, as well as </w:t>
      </w:r>
      <w:r w:rsidR="00C94B9C" w:rsidRPr="00406CB1">
        <w:rPr>
          <w:lang w:val="en-GB"/>
        </w:rPr>
        <w:t xml:space="preserve">the terms of storage operator’s </w:t>
      </w:r>
      <w:r w:rsidR="000B0769" w:rsidRPr="00406CB1">
        <w:rPr>
          <w:lang w:val="en-GB"/>
        </w:rPr>
        <w:t>energy licence.</w:t>
      </w:r>
    </w:p>
    <w:p w:rsidR="000B0769" w:rsidRPr="00406CB1" w:rsidRDefault="000B0769" w:rsidP="00C94B9C">
      <w:pPr>
        <w:tabs>
          <w:tab w:val="center" w:pos="4536"/>
          <w:tab w:val="right" w:pos="9072"/>
        </w:tabs>
        <w:spacing w:before="240" w:after="200" w:line="276" w:lineRule="auto"/>
        <w:rPr>
          <w:rFonts w:eastAsia="Calibri"/>
          <w:lang w:val="en-GB" w:eastAsia="en-US"/>
        </w:rPr>
      </w:pPr>
      <w:r w:rsidRPr="00406CB1">
        <w:rPr>
          <w:lang w:val="en-GB"/>
        </w:rPr>
        <w:t>As consequence, t</w:t>
      </w:r>
      <w:r w:rsidRPr="00406CB1">
        <w:rPr>
          <w:rFonts w:eastAsia="Calibri"/>
          <w:lang w:val="en-GB" w:eastAsia="en-US"/>
        </w:rPr>
        <w:t xml:space="preserve">his </w:t>
      </w:r>
      <w:r w:rsidR="00C94B9C" w:rsidRPr="00406CB1">
        <w:rPr>
          <w:rFonts w:eastAsia="Calibri"/>
          <w:lang w:val="en-GB" w:eastAsia="en-US"/>
        </w:rPr>
        <w:t xml:space="preserve">sample </w:t>
      </w:r>
      <w:r w:rsidRPr="00406CB1">
        <w:rPr>
          <w:rFonts w:eastAsia="Calibri"/>
          <w:lang w:val="en-GB" w:eastAsia="en-US"/>
        </w:rPr>
        <w:t xml:space="preserve">is an unofficial translation only. Official documentation for the auction sale is drafted in Czech language. If any discrepancies arise between English and Czech wording, the Czech wording shall prevail. </w:t>
      </w:r>
    </w:p>
    <w:p w:rsidR="000B0769" w:rsidRPr="00406CB1" w:rsidRDefault="000B0769" w:rsidP="00C94B9C">
      <w:pPr>
        <w:tabs>
          <w:tab w:val="center" w:pos="4536"/>
          <w:tab w:val="right" w:pos="9072"/>
        </w:tabs>
        <w:spacing w:before="240" w:after="200" w:line="276" w:lineRule="auto"/>
        <w:rPr>
          <w:rFonts w:eastAsia="Calibri"/>
          <w:lang w:val="en-GB" w:eastAsia="en-US"/>
        </w:rPr>
      </w:pPr>
      <w:r w:rsidRPr="00406CB1">
        <w:rPr>
          <w:rFonts w:eastAsia="Calibri"/>
          <w:lang w:val="en-GB" w:eastAsia="en-US"/>
        </w:rPr>
        <w:t xml:space="preserve">If so requested by the Storage User, the storage agreement may be concluded in parallel Czech/English language version, however, even in such cases the Czech wording shall prevail in case of any discrepancies.  </w:t>
      </w:r>
    </w:p>
    <w:p w:rsidR="00EB7C1D" w:rsidRPr="00406CB1" w:rsidRDefault="00EB7C1D" w:rsidP="000B0769">
      <w:pPr>
        <w:jc w:val="center"/>
        <w:rPr>
          <w:b/>
          <w:lang w:val="en-GB"/>
        </w:rPr>
      </w:pPr>
      <w:r w:rsidRPr="00406CB1">
        <w:rPr>
          <w:lang w:val="en-GB"/>
        </w:rPr>
        <w:br w:type="page"/>
      </w:r>
      <w:r w:rsidR="003756E9" w:rsidRPr="00406CB1">
        <w:rPr>
          <w:b/>
          <w:lang w:val="en-GB"/>
        </w:rPr>
        <w:lastRenderedPageBreak/>
        <w:t>Contract to store gas for reservation of annual storage capacity with fixed output</w:t>
      </w: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w:t>
      </w:r>
      <w:r w:rsidR="006D75CB" w:rsidRPr="00406CB1">
        <w:rPr>
          <w:rFonts w:cs="Calibri"/>
          <w:b/>
          <w:bCs/>
          <w:lang w:val="en-GB"/>
        </w:rPr>
        <w:t>sample</w:t>
      </w:r>
      <w:r w:rsidRPr="00406CB1">
        <w:rPr>
          <w:rFonts w:cs="Calibri"/>
          <w:b/>
          <w:bCs/>
          <w:lang w:val="en-GB"/>
        </w:rPr>
        <w:t>)</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 Parties to the Contract</w:t>
      </w:r>
    </w:p>
    <w:p w:rsidR="003756E9" w:rsidRPr="00406CB1" w:rsidRDefault="003756E9" w:rsidP="003756E9">
      <w:pPr>
        <w:widowControl/>
        <w:overflowPunct/>
        <w:spacing w:before="0"/>
        <w:jc w:val="left"/>
        <w:textAlignment w:val="auto"/>
        <w:rPr>
          <w:rFonts w:cs="Calibri"/>
          <w:b/>
          <w:bCs/>
          <w:color w:val="000000"/>
          <w:lang w:val="en-GB"/>
        </w:rPr>
      </w:pP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 xml:space="preserve">MND Gas Storage a.s.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Registered office</w:t>
      </w:r>
      <w:r w:rsidRPr="00406CB1">
        <w:rPr>
          <w:rFonts w:cs="Calibri"/>
          <w:color w:val="000000"/>
          <w:lang w:val="en-GB"/>
        </w:rPr>
        <w:t xml:space="preserve">: Úprkova 807/6, 695 01 Hodonín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Represented by</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 ID No.</w:t>
      </w:r>
      <w:r w:rsidRPr="00406CB1">
        <w:rPr>
          <w:rFonts w:cs="Calibri"/>
          <w:color w:val="000000"/>
          <w:lang w:val="en-GB"/>
        </w:rPr>
        <w:t xml:space="preserve">: 27732894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Tax ID No.</w:t>
      </w:r>
      <w:r w:rsidRPr="00406CB1">
        <w:rPr>
          <w:rFonts w:cs="Calibri"/>
          <w:color w:val="000000"/>
          <w:lang w:val="en-GB"/>
        </w:rPr>
        <w:t xml:space="preserve">: CZ27732894 </w:t>
      </w:r>
    </w:p>
    <w:p w:rsidR="003756E9" w:rsidRPr="00406CB1" w:rsidRDefault="003756E9" w:rsidP="003756E9">
      <w:pPr>
        <w:widowControl/>
        <w:overflowPunct/>
        <w:spacing w:before="0"/>
        <w:jc w:val="left"/>
        <w:textAlignment w:val="auto"/>
        <w:rPr>
          <w:rFonts w:cs="Calibri"/>
          <w:b/>
          <w:bCs/>
          <w:color w:val="000000"/>
          <w:lang w:val="en-GB"/>
        </w:rPr>
      </w:pPr>
      <w:r w:rsidRPr="00406CB1">
        <w:rPr>
          <w:rFonts w:cs="Calibri"/>
          <w:b/>
          <w:bCs/>
          <w:color w:val="000000"/>
          <w:lang w:val="en-GB"/>
        </w:rPr>
        <w:t xml:space="preserve">Bank account: </w:t>
      </w:r>
      <w:r w:rsidR="00AB430C" w:rsidRPr="00406CB1">
        <w:rPr>
          <w:rFonts w:cs="Calibri"/>
          <w:b/>
          <w:bCs/>
          <w:color w:val="000000"/>
          <w:lang w:val="en-GB"/>
        </w:rPr>
        <w:t>ČSOB,</w:t>
      </w:r>
      <w:r w:rsidRPr="00406CB1">
        <w:rPr>
          <w:rFonts w:cs="Calibri"/>
          <w:b/>
          <w:bCs/>
          <w:color w:val="000000"/>
          <w:lang w:val="en-GB"/>
        </w:rPr>
        <w:t xml:space="preserve"> a.s.</w:t>
      </w:r>
    </w:p>
    <w:p w:rsidR="00AB430C" w:rsidRPr="00406CB1" w:rsidRDefault="003756E9" w:rsidP="003756E9">
      <w:pPr>
        <w:widowControl/>
        <w:overflowPunct/>
        <w:spacing w:before="0"/>
        <w:jc w:val="left"/>
        <w:textAlignment w:val="auto"/>
        <w:rPr>
          <w:lang w:val="en-GB"/>
        </w:rPr>
      </w:pPr>
      <w:r w:rsidRPr="00406CB1">
        <w:rPr>
          <w:rFonts w:cs="Calibri"/>
          <w:b/>
          <w:bCs/>
          <w:color w:val="000000"/>
          <w:lang w:val="en-GB"/>
        </w:rPr>
        <w:t xml:space="preserve">Account No. – </w:t>
      </w:r>
      <w:r w:rsidR="00AB430C" w:rsidRPr="00406CB1">
        <w:rPr>
          <w:lang w:val="en-GB"/>
        </w:rPr>
        <w:t xml:space="preserve">17402743/0300 </w:t>
      </w:r>
    </w:p>
    <w:p w:rsidR="003756E9" w:rsidRPr="00406CB1" w:rsidRDefault="00AB430C" w:rsidP="003756E9">
      <w:pPr>
        <w:widowControl/>
        <w:overflowPunct/>
        <w:spacing w:before="0"/>
        <w:jc w:val="left"/>
        <w:textAlignment w:val="auto"/>
        <w:rPr>
          <w:rFonts w:cs="Calibri"/>
          <w:color w:val="000000"/>
          <w:lang w:val="en-GB"/>
        </w:rPr>
      </w:pPr>
      <w:r w:rsidRPr="00406CB1">
        <w:rPr>
          <w:rFonts w:cs="Calibri"/>
          <w:color w:val="000000"/>
          <w:lang w:val="en-GB"/>
        </w:rPr>
        <w:t>I</w:t>
      </w:r>
      <w:r w:rsidR="003756E9" w:rsidRPr="00406CB1">
        <w:rPr>
          <w:rFonts w:cs="Calibri"/>
          <w:color w:val="000000"/>
          <w:lang w:val="en-GB"/>
        </w:rPr>
        <w:t xml:space="preserve">ncorporated with Regional Court in Brno, Section B, Folder 4925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(hereinafter the “</w:t>
      </w:r>
      <w:r w:rsidRPr="00406CB1">
        <w:rPr>
          <w:rFonts w:cs="Calibri"/>
          <w:b/>
          <w:bCs/>
          <w:color w:val="000000"/>
          <w:lang w:val="en-GB"/>
        </w:rPr>
        <w:t>Storage Operator</w:t>
      </w:r>
      <w:r w:rsidRPr="00406CB1">
        <w:rPr>
          <w:rFonts w:cs="Calibri"/>
          <w:color w:val="000000"/>
          <w:lang w:val="en-GB"/>
        </w:rPr>
        <w:t xml:space="preserve">“), </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Registered office</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Represented by/Executive head</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 ID No.</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Tax ID No</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Bank account</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 xml:space="preserve">Account No. </w:t>
      </w:r>
      <w:r w:rsidRPr="00406CB1">
        <w:rPr>
          <w:rFonts w:cs="Calibri"/>
          <w:color w:val="000000"/>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 xml:space="preserve">Incorporated with, Section, Folder,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(hereinafter the  “</w:t>
      </w:r>
      <w:r w:rsidRPr="00406CB1">
        <w:rPr>
          <w:rFonts w:cs="Calibri"/>
          <w:b/>
          <w:bCs/>
          <w:color w:val="000000"/>
          <w:lang w:val="en-GB"/>
        </w:rPr>
        <w:t>Storage User</w:t>
      </w:r>
      <w:r w:rsidRPr="00406CB1">
        <w:rPr>
          <w:rFonts w:cs="Calibri"/>
          <w:color w:val="000000"/>
          <w:lang w:val="en-GB"/>
        </w:rPr>
        <w:t xml:space="preserve">“), </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autoSpaceDE/>
        <w:autoSpaceDN/>
        <w:adjustRightInd/>
        <w:spacing w:before="0"/>
        <w:ind w:left="540"/>
        <w:textAlignment w:val="auto"/>
        <w:rPr>
          <w:rFonts w:cs="Calibri"/>
          <w:b/>
          <w:bCs/>
          <w:lang w:val="en-GB"/>
        </w:rPr>
      </w:pPr>
      <w:r w:rsidRPr="00406CB1">
        <w:rPr>
          <w:rFonts w:cs="Calibri"/>
          <w:b/>
          <w:bCs/>
          <w:lang w:val="en-GB"/>
        </w:rPr>
        <w:t>Hereby sign, under the Act No. 458/2000 Coll. (</w:t>
      </w:r>
      <w:r w:rsidR="000B0769" w:rsidRPr="00406CB1">
        <w:rPr>
          <w:rFonts w:cs="Calibri"/>
          <w:b/>
          <w:bCs/>
          <w:lang w:val="en-GB"/>
        </w:rPr>
        <w:t xml:space="preserve">hereinafter as “Energy </w:t>
      </w:r>
      <w:r w:rsidRPr="00406CB1">
        <w:rPr>
          <w:rFonts w:cs="Calibri"/>
          <w:b/>
          <w:bCs/>
          <w:lang w:val="en-GB"/>
        </w:rPr>
        <w:t>Act</w:t>
      </w:r>
      <w:r w:rsidR="000B0769" w:rsidRPr="00406CB1">
        <w:rPr>
          <w:rFonts w:cs="Calibri"/>
          <w:b/>
          <w:bCs/>
          <w:lang w:val="en-GB"/>
        </w:rPr>
        <w:t>”</w:t>
      </w:r>
      <w:r w:rsidRPr="00406CB1">
        <w:rPr>
          <w:rFonts w:cs="Calibri"/>
          <w:b/>
          <w:bCs/>
          <w:lang w:val="en-GB"/>
        </w:rPr>
        <w:t xml:space="preserve">) and relevant </w:t>
      </w:r>
      <w:r w:rsidR="00C94B9C" w:rsidRPr="00406CB1">
        <w:rPr>
          <w:rFonts w:cs="Calibri"/>
          <w:b/>
          <w:bCs/>
          <w:lang w:val="en-GB"/>
        </w:rPr>
        <w:t>regulatory</w:t>
      </w:r>
      <w:r w:rsidRPr="00406CB1">
        <w:rPr>
          <w:rFonts w:cs="Calibri"/>
          <w:b/>
          <w:bCs/>
          <w:lang w:val="en-GB"/>
        </w:rPr>
        <w:t xml:space="preserve"> instruments </w:t>
      </w:r>
      <w:r w:rsidR="00C94B9C" w:rsidRPr="00406CB1">
        <w:rPr>
          <w:rFonts w:cs="Calibri"/>
          <w:b/>
          <w:bCs/>
          <w:lang w:val="en-GB"/>
        </w:rPr>
        <w:t>to</w:t>
      </w:r>
      <w:r w:rsidRPr="00406CB1">
        <w:rPr>
          <w:rFonts w:cs="Calibri"/>
          <w:b/>
          <w:bCs/>
          <w:lang w:val="en-GB"/>
        </w:rPr>
        <w:t xml:space="preserve"> the </w:t>
      </w:r>
      <w:r w:rsidR="000B0769" w:rsidRPr="00406CB1">
        <w:rPr>
          <w:rFonts w:cs="Calibri"/>
          <w:b/>
          <w:bCs/>
          <w:lang w:val="en-GB"/>
        </w:rPr>
        <w:t>Energy</w:t>
      </w:r>
      <w:r w:rsidRPr="00406CB1">
        <w:rPr>
          <w:rFonts w:cs="Calibri"/>
          <w:b/>
          <w:bCs/>
          <w:lang w:val="en-GB"/>
        </w:rPr>
        <w:t xml:space="preserve"> Act, all as amended and effective, this </w:t>
      </w:r>
      <w:r w:rsidR="00C94B9C" w:rsidRPr="00406CB1">
        <w:rPr>
          <w:rFonts w:cs="Calibri"/>
          <w:b/>
          <w:bCs/>
          <w:lang w:val="en-GB"/>
        </w:rPr>
        <w:t>storage c</w:t>
      </w:r>
      <w:r w:rsidRPr="00406CB1">
        <w:rPr>
          <w:rFonts w:cs="Calibri"/>
          <w:b/>
          <w:bCs/>
          <w:lang w:val="en-GB"/>
        </w:rPr>
        <w:t>ontract for</w:t>
      </w:r>
      <w:r w:rsidR="00C94B9C" w:rsidRPr="00406CB1">
        <w:rPr>
          <w:rFonts w:cs="Calibri"/>
          <w:b/>
          <w:bCs/>
          <w:lang w:val="en-GB"/>
        </w:rPr>
        <w:t xml:space="preserve"> the</w:t>
      </w:r>
      <w:r w:rsidRPr="00406CB1">
        <w:rPr>
          <w:rFonts w:cs="Calibri"/>
          <w:b/>
          <w:bCs/>
          <w:lang w:val="en-GB"/>
        </w:rPr>
        <w:t xml:space="preserve"> reservation of annual storage capacity with fixed</w:t>
      </w:r>
      <w:r w:rsidR="00C94B9C" w:rsidRPr="00406CB1">
        <w:rPr>
          <w:rFonts w:cs="Calibri"/>
          <w:b/>
          <w:bCs/>
          <w:lang w:val="en-GB"/>
        </w:rPr>
        <w:t xml:space="preserve"> output</w:t>
      </w:r>
      <w:r w:rsidRPr="00406CB1">
        <w:rPr>
          <w:rFonts w:cs="Calibri"/>
          <w:b/>
          <w:bCs/>
          <w:lang w:val="en-GB"/>
        </w:rPr>
        <w:t xml:space="preserve"> (hereinafter the “Contract”).</w:t>
      </w:r>
    </w:p>
    <w:p w:rsidR="003756E9" w:rsidRPr="00406CB1" w:rsidRDefault="003756E9" w:rsidP="003756E9">
      <w:pPr>
        <w:widowControl/>
        <w:overflowPunct/>
        <w:autoSpaceDE/>
        <w:autoSpaceDN/>
        <w:adjustRightInd/>
        <w:spacing w:before="0"/>
        <w:ind w:left="540"/>
        <w:textAlignment w:val="auto"/>
        <w:rPr>
          <w:rFonts w:cs="Calibri"/>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II. Subject Matter</w:t>
      </w:r>
    </w:p>
    <w:p w:rsidR="003756E9" w:rsidRPr="00406CB1" w:rsidRDefault="003756E9" w:rsidP="003756E9">
      <w:pPr>
        <w:widowControl/>
        <w:overflowPunct/>
        <w:autoSpaceDE/>
        <w:autoSpaceDN/>
        <w:adjustRightInd/>
        <w:spacing w:before="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1. </w:t>
      </w:r>
      <w:r w:rsidRPr="00406CB1">
        <w:rPr>
          <w:rFonts w:cs="Calibri"/>
          <w:lang w:val="en-GB"/>
        </w:rPr>
        <w:tab/>
        <w:t>The subject matter of this Contract, compliant with the Rules of the Gas Storage Operator (hereinafter the “</w:t>
      </w:r>
      <w:r w:rsidRPr="00406CB1">
        <w:rPr>
          <w:rFonts w:cs="Calibri"/>
          <w:b/>
          <w:lang w:val="en-GB"/>
        </w:rPr>
        <w:t>Rules</w:t>
      </w:r>
      <w:r w:rsidRPr="00406CB1">
        <w:rPr>
          <w:rFonts w:cs="Calibri"/>
          <w:lang w:val="en-GB"/>
        </w:rPr>
        <w:t>”), is the obligation: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a)</w:t>
      </w:r>
      <w:r w:rsidRPr="00406CB1">
        <w:rPr>
          <w:rFonts w:cs="Calibri"/>
          <w:lang w:val="en-GB"/>
        </w:rPr>
        <w:tab/>
        <w:t>Of the Storage Opera</w:t>
      </w:r>
      <w:r w:rsidR="00C94B9C" w:rsidRPr="00406CB1">
        <w:rPr>
          <w:rFonts w:cs="Calibri"/>
          <w:lang w:val="en-GB"/>
        </w:rPr>
        <w:t>tor to duly render a gas storage</w:t>
      </w:r>
      <w:r w:rsidRPr="00406CB1">
        <w:rPr>
          <w:rFonts w:cs="Calibri"/>
          <w:lang w:val="en-GB"/>
        </w:rPr>
        <w:t xml:space="preserve"> service for the Storage User, and this under the terms and conditions given below in this Contract and the Rules;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b)</w:t>
      </w:r>
      <w:r w:rsidRPr="00406CB1">
        <w:rPr>
          <w:rFonts w:cs="Calibri"/>
          <w:lang w:val="en-GB"/>
        </w:rPr>
        <w:tab/>
        <w:t>Of the Storage User to create conditions for proper rendering of the storing service by Storage Operator, and pay total price for the storing service, and this all under the terms and conditions mentioned below in this Contract and the Rules</w:t>
      </w:r>
    </w:p>
    <w:p w:rsidR="006D75CB" w:rsidRPr="00406CB1" w:rsidRDefault="006D75CB" w:rsidP="003756E9">
      <w:pPr>
        <w:widowControl/>
        <w:overflowPunct/>
        <w:autoSpaceDE/>
        <w:autoSpaceDN/>
        <w:adjustRightInd/>
        <w:spacing w:before="0"/>
        <w:ind w:left="360" w:hanging="360"/>
        <w:textAlignment w:val="auto"/>
        <w:rPr>
          <w:rFonts w:cs="Calibri"/>
          <w:lang w:val="en-GB"/>
        </w:rPr>
      </w:pPr>
    </w:p>
    <w:p w:rsidR="006D75CB" w:rsidRPr="00406CB1" w:rsidRDefault="006D75CB"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based on the operational parameters stipulated in Article III</w:t>
      </w:r>
      <w:r w:rsidR="00C94B9C" w:rsidRPr="00406CB1">
        <w:rPr>
          <w:rFonts w:cs="Calibri"/>
          <w:lang w:val="en-GB"/>
        </w:rPr>
        <w:t>.</w:t>
      </w:r>
      <w:r w:rsidRPr="00406CB1">
        <w:rPr>
          <w:rFonts w:cs="Calibri"/>
          <w:lang w:val="en-GB"/>
        </w:rPr>
        <w:t xml:space="preserve"> of this Contract reserved for the Storage User as the result of the electronic auction which took place on </w:t>
      </w:r>
      <w:r w:rsidRPr="00406CB1">
        <w:rPr>
          <w:rFonts w:cs="Calibri"/>
          <w:highlight w:val="yellow"/>
          <w:lang w:val="en-GB"/>
        </w:rPr>
        <w:t>[●]</w:t>
      </w:r>
      <w:r w:rsidRPr="00406CB1">
        <w:rPr>
          <w:rFonts w:cs="Calibri"/>
          <w:color w:val="000000"/>
          <w:lang w:val="en-GB"/>
        </w:rPr>
        <w:t>(hereinafter the  “</w:t>
      </w:r>
      <w:r w:rsidRPr="00406CB1">
        <w:rPr>
          <w:rFonts w:cs="Calibri"/>
          <w:b/>
          <w:bCs/>
          <w:color w:val="000000"/>
          <w:lang w:val="en-GB"/>
        </w:rPr>
        <w:t>Storage Service</w:t>
      </w:r>
      <w:r w:rsidR="00C94B9C" w:rsidRPr="00406CB1">
        <w:rPr>
          <w:rFonts w:cs="Calibri"/>
          <w:color w:val="000000"/>
          <w:lang w:val="en-GB"/>
        </w:rPr>
        <w:t>“</w:t>
      </w:r>
      <w:r w:rsidRPr="00406CB1">
        <w:rPr>
          <w:rFonts w:cs="Calibri"/>
          <w:color w:val="000000"/>
          <w:lang w:val="en-GB"/>
        </w:rPr>
        <w:t>)</w:t>
      </w:r>
      <w:r w:rsidR="00C94B9C" w:rsidRPr="00406CB1">
        <w:rPr>
          <w:rFonts w:cs="Calibri"/>
          <w:color w:val="000000"/>
          <w:lang w:val="en-GB"/>
        </w:rPr>
        <w:t>.</w:t>
      </w:r>
      <w:r w:rsidRPr="00406CB1">
        <w:rPr>
          <w:rFonts w:cs="Calibri"/>
          <w:lang w:val="en-GB"/>
        </w:rPr>
        <w:t xml:space="preserv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C94B9C"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003756E9" w:rsidRPr="00406CB1">
        <w:rPr>
          <w:rFonts w:cs="Calibri"/>
          <w:lang w:val="en-GB"/>
        </w:rPr>
        <w:t>.</w:t>
      </w:r>
      <w:r w:rsidR="003756E9" w:rsidRPr="00406CB1">
        <w:rPr>
          <w:rFonts w:cs="Calibri"/>
          <w:lang w:val="en-GB"/>
        </w:rPr>
        <w:tab/>
      </w:r>
      <w:r w:rsidRPr="00406CB1">
        <w:rPr>
          <w:rFonts w:cs="Calibri"/>
          <w:lang w:val="en-GB"/>
        </w:rPr>
        <w:t>I</w:t>
      </w:r>
      <w:r w:rsidRPr="00C94B9C">
        <w:rPr>
          <w:rFonts w:cs="Calibri"/>
          <w:lang w:val="en-GB"/>
        </w:rPr>
        <w:t>n performing this Contract</w:t>
      </w:r>
      <w:r>
        <w:rPr>
          <w:rFonts w:cs="Calibri"/>
          <w:lang w:val="en-GB"/>
        </w:rPr>
        <w:t>,</w:t>
      </w:r>
      <w:r w:rsidRPr="00C94B9C">
        <w:rPr>
          <w:rFonts w:cs="Calibri"/>
          <w:lang w:val="en-GB"/>
        </w:rPr>
        <w:t xml:space="preserve"> </w:t>
      </w:r>
      <w:r>
        <w:rPr>
          <w:rFonts w:cs="Calibri"/>
          <w:lang w:val="en-GB"/>
        </w:rPr>
        <w:t xml:space="preserve">the </w:t>
      </w:r>
      <w:r w:rsidR="003756E9" w:rsidRPr="00406CB1">
        <w:rPr>
          <w:rFonts w:cs="Calibri"/>
          <w:lang w:val="en-GB"/>
        </w:rPr>
        <w:t xml:space="preserve">Parties to the Contract </w:t>
      </w:r>
      <w:r w:rsidRPr="00406CB1">
        <w:rPr>
          <w:rFonts w:cs="Calibri"/>
          <w:lang w:val="en-GB"/>
        </w:rPr>
        <w:t xml:space="preserve">also </w:t>
      </w:r>
      <w:r w:rsidR="003756E9" w:rsidRPr="00406CB1">
        <w:rPr>
          <w:rFonts w:cs="Calibri"/>
          <w:lang w:val="en-GB"/>
        </w:rPr>
        <w:t xml:space="preserve">undertake to adhere to the provisions of the Rules which are valid and effective as of the date the Contract was signed by </w:t>
      </w:r>
      <w:r w:rsidRPr="00406CB1">
        <w:rPr>
          <w:rFonts w:cs="Calibri"/>
          <w:lang w:val="en-GB"/>
        </w:rPr>
        <w:t xml:space="preserve">the </w:t>
      </w:r>
      <w:r w:rsidR="003756E9" w:rsidRPr="00406CB1">
        <w:rPr>
          <w:rFonts w:cs="Calibri"/>
          <w:lang w:val="en-GB"/>
        </w:rPr>
        <w:t xml:space="preserve">Storage User, including the provisions of the Rules altered later on by </w:t>
      </w:r>
      <w:r w:rsidRPr="00406CB1">
        <w:rPr>
          <w:rFonts w:cs="Calibri"/>
          <w:lang w:val="en-GB"/>
        </w:rPr>
        <w:t xml:space="preserve">the </w:t>
      </w:r>
      <w:r w:rsidR="003756E9" w:rsidRPr="00406CB1">
        <w:rPr>
          <w:rFonts w:cs="Calibri"/>
          <w:lang w:val="en-GB"/>
        </w:rPr>
        <w:t xml:space="preserve">Storage Operator due to the reasons incited by the change of generally binding legal regulations or a ruling of respective state administration body. Storage User hereby declares he/she has become sufficiently familiar with the wording of the Rules valid and effective as of the date the Contract was signed, and has these at his/her disposal.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lastRenderedPageBreak/>
        <w:t>3.</w:t>
      </w:r>
      <w:r w:rsidRPr="00406CB1">
        <w:rPr>
          <w:rFonts w:cs="Calibri"/>
          <w:lang w:val="en-GB"/>
        </w:rPr>
        <w:tab/>
        <w:t>Should any changes to the Rules be made (pursuant to the previous point) then the decisive wording for the Parties to proceed will be the one which is in force at the time the performance is carried out, and in the event of any default in performance, then at the day the performance should have been made. In case of any variance between the wording of the Rules and of this Contract the provisions stated in this Contract shall take precedence.</w:t>
      </w:r>
    </w:p>
    <w:p w:rsidR="003756E9" w:rsidRPr="00406CB1" w:rsidRDefault="003756E9" w:rsidP="003756E9">
      <w:pPr>
        <w:widowControl/>
        <w:overflowPunct/>
        <w:autoSpaceDE/>
        <w:autoSpaceDN/>
        <w:adjustRightInd/>
        <w:spacing w:before="0"/>
        <w:textAlignment w:val="auto"/>
        <w:rPr>
          <w:rFonts w:cs="Calibri"/>
          <w:b/>
          <w:bCs/>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III. Storage capacities</w:t>
      </w:r>
    </w:p>
    <w:p w:rsidR="003756E9" w:rsidRPr="00406CB1" w:rsidRDefault="003756E9" w:rsidP="003756E9">
      <w:pPr>
        <w:widowControl/>
        <w:overflowPunct/>
        <w:autoSpaceDE/>
        <w:autoSpaceDN/>
        <w:adjustRightInd/>
        <w:spacing w:before="0"/>
        <w:ind w:left="360" w:hanging="360"/>
        <w:jc w:val="center"/>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 xml:space="preserve">Throughout the time the Contract is effective the Storage Operator undertakes to provide the Storage User within the </w:t>
      </w:r>
      <w:r w:rsidR="006D75CB" w:rsidRPr="00406CB1">
        <w:rPr>
          <w:rFonts w:cs="Calibri"/>
          <w:lang w:val="en-GB"/>
        </w:rPr>
        <w:t>S</w:t>
      </w:r>
      <w:r w:rsidRPr="00406CB1">
        <w:rPr>
          <w:rFonts w:cs="Calibri"/>
          <w:lang w:val="en-GB"/>
        </w:rPr>
        <w:t xml:space="preserve">torage </w:t>
      </w:r>
      <w:r w:rsidR="006D75CB" w:rsidRPr="00406CB1">
        <w:rPr>
          <w:rFonts w:cs="Calibri"/>
          <w:lang w:val="en-GB"/>
        </w:rPr>
        <w:t>S</w:t>
      </w:r>
      <w:r w:rsidRPr="00406CB1">
        <w:rPr>
          <w:rFonts w:cs="Calibri"/>
          <w:lang w:val="en-GB"/>
        </w:rPr>
        <w:t xml:space="preserve">ervice </w:t>
      </w:r>
      <w:r w:rsidR="00C94B9C" w:rsidRPr="00406CB1">
        <w:rPr>
          <w:rFonts w:cs="Calibri"/>
          <w:lang w:val="en-GB"/>
        </w:rPr>
        <w:t xml:space="preserve">the following output and the storage capacity, </w:t>
      </w:r>
      <w:r w:rsidRPr="00406CB1">
        <w:rPr>
          <w:rFonts w:cs="Calibri"/>
          <w:lang w:val="en-GB"/>
        </w:rPr>
        <w:t>with the constraints stated in this Contract, Rules and generally binding legal regulations.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 xml:space="preserve">Daily max </w:t>
      </w:r>
      <w:r w:rsidR="00CE0360" w:rsidRPr="00406CB1">
        <w:rPr>
          <w:rFonts w:cs="Calibri"/>
          <w:lang w:val="en-GB"/>
        </w:rPr>
        <w:t xml:space="preserve">withdrawal </w:t>
      </w:r>
      <w:r w:rsidR="006D75CB" w:rsidRPr="00406CB1">
        <w:rPr>
          <w:rFonts w:cs="Calibri"/>
          <w:lang w:val="en-GB"/>
        </w:rPr>
        <w:t>output:</w:t>
      </w:r>
      <w:r w:rsidR="006D75CB" w:rsidRPr="00406CB1">
        <w:rPr>
          <w:rFonts w:cs="Calibri"/>
          <w:lang w:val="en-GB"/>
        </w:rPr>
        <w:tab/>
      </w:r>
      <w:r w:rsidR="006D75CB" w:rsidRPr="00406CB1">
        <w:rPr>
          <w:highlight w:val="yellow"/>
        </w:rPr>
        <w:t>[●]</w:t>
      </w:r>
      <w:r w:rsidR="006D75CB" w:rsidRPr="00406CB1">
        <w:t xml:space="preserve">  M</w:t>
      </w:r>
      <w:r w:rsidRPr="00406CB1">
        <w:rPr>
          <w:rFonts w:cs="Calibri"/>
          <w:lang w:val="en-GB"/>
        </w:rPr>
        <w:t>Wh per day</w:t>
      </w:r>
    </w:p>
    <w:p w:rsidR="003756E9" w:rsidRPr="00406CB1" w:rsidRDefault="003756E9"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Daily max in</w:t>
      </w:r>
      <w:r w:rsidR="006D75CB" w:rsidRPr="00406CB1">
        <w:rPr>
          <w:rFonts w:cs="Calibri"/>
          <w:lang w:val="en-GB"/>
        </w:rPr>
        <w:t>jection output:</w:t>
      </w:r>
      <w:r w:rsidR="006D75CB" w:rsidRPr="00406CB1">
        <w:rPr>
          <w:rFonts w:cs="Calibri"/>
          <w:lang w:val="en-GB"/>
        </w:rPr>
        <w:tab/>
      </w:r>
      <w:r w:rsidR="006D75CB" w:rsidRPr="00406CB1">
        <w:rPr>
          <w:highlight w:val="yellow"/>
        </w:rPr>
        <w:t>[●]</w:t>
      </w:r>
      <w:r w:rsidR="006D75CB" w:rsidRPr="00406CB1">
        <w:t xml:space="preserve">  M</w:t>
      </w:r>
      <w:r w:rsidRPr="00406CB1">
        <w:rPr>
          <w:rFonts w:cs="Calibri"/>
          <w:lang w:val="en-GB"/>
        </w:rPr>
        <w:t>Wh per day</w:t>
      </w:r>
    </w:p>
    <w:p w:rsidR="003756E9" w:rsidRPr="00406CB1" w:rsidRDefault="006D75CB"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Reserved storage capacity</w:t>
      </w:r>
      <w:r w:rsidR="003756E9" w:rsidRPr="00406CB1">
        <w:rPr>
          <w:rFonts w:cs="Calibri"/>
          <w:lang w:val="en-GB"/>
        </w:rPr>
        <w:t>:</w:t>
      </w:r>
      <w:r w:rsidRPr="00406CB1">
        <w:rPr>
          <w:rFonts w:cs="Calibri"/>
          <w:lang w:val="en-GB"/>
        </w:rPr>
        <w:tab/>
      </w:r>
      <w:r w:rsidRPr="006D75CB">
        <w:rPr>
          <w:sz w:val="23"/>
          <w:szCs w:val="23"/>
          <w:highlight w:val="yellow"/>
        </w:rPr>
        <w:t>[●]</w:t>
      </w:r>
      <w:r w:rsidRPr="006D75CB">
        <w:rPr>
          <w:sz w:val="23"/>
          <w:szCs w:val="23"/>
        </w:rPr>
        <w:t xml:space="preserve"> </w:t>
      </w:r>
      <w:r w:rsidRPr="00406CB1">
        <w:t xml:space="preserve"> MWh</w:t>
      </w:r>
    </w:p>
    <w:p w:rsidR="003756E9" w:rsidRPr="00406CB1" w:rsidRDefault="003756E9" w:rsidP="003756E9">
      <w:pPr>
        <w:widowControl/>
        <w:overflowPunct/>
        <w:autoSpaceDE/>
        <w:autoSpaceDN/>
        <w:adjustRightInd/>
        <w:spacing w:before="0"/>
        <w:ind w:left="360"/>
        <w:textAlignment w:val="auto"/>
        <w:rPr>
          <w:rFonts w:cs="Calibri"/>
          <w:lang w:val="en-GB"/>
        </w:rPr>
      </w:pPr>
    </w:p>
    <w:p w:rsidR="003756E9" w:rsidRPr="00406CB1" w:rsidRDefault="00CE0360"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Injection</w:t>
      </w:r>
      <w:r w:rsidR="003756E9" w:rsidRPr="00406CB1">
        <w:rPr>
          <w:rFonts w:cs="Calibri"/>
          <w:lang w:val="en-GB"/>
        </w:rPr>
        <w:t xml:space="preserve"> and </w:t>
      </w:r>
      <w:r w:rsidRPr="00406CB1">
        <w:rPr>
          <w:rFonts w:cs="Calibri"/>
          <w:lang w:val="en-GB"/>
        </w:rPr>
        <w:t>withdrawal</w:t>
      </w:r>
      <w:r w:rsidR="003756E9" w:rsidRPr="00406CB1">
        <w:rPr>
          <w:rFonts w:cs="Calibri"/>
          <w:lang w:val="en-GB"/>
        </w:rPr>
        <w:t xml:space="preserve"> curve are given in Annex No. 1 which forms integral part of this Contract.</w:t>
      </w:r>
    </w:p>
    <w:p w:rsidR="003756E9" w:rsidRPr="00406CB1" w:rsidRDefault="003756E9" w:rsidP="003756E9">
      <w:pPr>
        <w:widowControl/>
        <w:overflowPunct/>
        <w:autoSpaceDE/>
        <w:autoSpaceDN/>
        <w:adjustRightInd/>
        <w:spacing w:before="0"/>
        <w:textAlignment w:val="auto"/>
        <w:rPr>
          <w:rFonts w:cs="Calibri"/>
          <w:lang w:val="en-GB"/>
        </w:rPr>
      </w:pPr>
      <w:r w:rsidRPr="00406CB1">
        <w:rPr>
          <w:rFonts w:cs="Calibri"/>
          <w:lang w:val="en-GB"/>
        </w:rPr>
        <w:t xml:space="preserve">  </w:t>
      </w:r>
    </w:p>
    <w:p w:rsidR="003756E9" w:rsidRPr="00406CB1" w:rsidRDefault="003756E9" w:rsidP="00AB430C">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IV.</w:t>
      </w:r>
      <w:r w:rsidRPr="00406CB1">
        <w:rPr>
          <w:rFonts w:cs="Calibri"/>
          <w:b/>
          <w:bCs/>
          <w:lang w:val="en-GB"/>
        </w:rPr>
        <w:tab/>
        <w:t>Storage price</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C0E00">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 xml:space="preserve">Total </w:t>
      </w:r>
      <w:r w:rsidR="003C0E00" w:rsidRPr="00406CB1">
        <w:rPr>
          <w:rFonts w:cs="Calibri"/>
          <w:lang w:val="en-GB"/>
        </w:rPr>
        <w:t xml:space="preserve">annual </w:t>
      </w:r>
      <w:r w:rsidRPr="00406CB1">
        <w:rPr>
          <w:rFonts w:cs="Calibri"/>
          <w:lang w:val="en-GB"/>
        </w:rPr>
        <w:t xml:space="preserve">price for </w:t>
      </w:r>
      <w:r w:rsidR="006D75CB" w:rsidRPr="00406CB1">
        <w:rPr>
          <w:rFonts w:cs="Calibri"/>
          <w:lang w:val="en-GB"/>
        </w:rPr>
        <w:t>S</w:t>
      </w:r>
      <w:r w:rsidRPr="00406CB1">
        <w:rPr>
          <w:rFonts w:cs="Calibri"/>
          <w:lang w:val="en-GB"/>
        </w:rPr>
        <w:t>torage</w:t>
      </w:r>
      <w:r w:rsidR="006D75CB" w:rsidRPr="00406CB1">
        <w:rPr>
          <w:rFonts w:cs="Calibri"/>
          <w:lang w:val="en-GB"/>
        </w:rPr>
        <w:t xml:space="preserve"> Services</w:t>
      </w:r>
      <w:r w:rsidRPr="00406CB1">
        <w:rPr>
          <w:rFonts w:cs="Calibri"/>
          <w:lang w:val="en-GB"/>
        </w:rPr>
        <w:t xml:space="preserve"> consists of the storage price</w:t>
      </w:r>
      <w:r w:rsidR="006D75CB" w:rsidRPr="00406CB1">
        <w:rPr>
          <w:rFonts w:cs="Calibri"/>
          <w:lang w:val="en-GB"/>
        </w:rPr>
        <w:t xml:space="preserve"> which is calculated based on the unit storage price arrived at in the auction held on </w:t>
      </w:r>
      <w:r w:rsidR="006D75CB" w:rsidRPr="006D75CB">
        <w:rPr>
          <w:rFonts w:cs="Calibri"/>
          <w:sz w:val="23"/>
          <w:szCs w:val="23"/>
          <w:highlight w:val="yellow"/>
          <w:lang w:val="en-GB"/>
        </w:rPr>
        <w:t>[●]</w:t>
      </w:r>
      <w:r w:rsidR="006D75CB">
        <w:rPr>
          <w:rFonts w:cs="Calibri"/>
          <w:sz w:val="23"/>
          <w:szCs w:val="23"/>
          <w:lang w:val="en-GB"/>
        </w:rPr>
        <w:t>,</w:t>
      </w:r>
      <w:r w:rsidRPr="00406CB1">
        <w:rPr>
          <w:rFonts w:cs="Calibri"/>
          <w:lang w:val="en-GB"/>
        </w:rPr>
        <w:t xml:space="preserve"> and of the price for storage</w:t>
      </w:r>
      <w:r w:rsidR="006D75CB" w:rsidRPr="00406CB1">
        <w:rPr>
          <w:rFonts w:cs="Calibri"/>
          <w:lang w:val="en-GB"/>
        </w:rPr>
        <w:t xml:space="preserve"> </w:t>
      </w:r>
      <w:r w:rsidRPr="00406CB1">
        <w:rPr>
          <w:rFonts w:cs="Calibri"/>
          <w:lang w:val="en-GB"/>
        </w:rPr>
        <w:t>related activities</w:t>
      </w:r>
      <w:r w:rsidR="006D75CB" w:rsidRPr="00406CB1">
        <w:rPr>
          <w:rFonts w:cs="Calibri"/>
          <w:lang w:val="en-GB"/>
        </w:rPr>
        <w:t>.</w:t>
      </w:r>
    </w:p>
    <w:p w:rsidR="006D75CB" w:rsidRPr="00406CB1" w:rsidRDefault="006D75CB" w:rsidP="003756E9">
      <w:pPr>
        <w:widowControl/>
        <w:overflowPunct/>
        <w:autoSpaceDE/>
        <w:autoSpaceDN/>
        <w:adjustRightInd/>
        <w:spacing w:before="0"/>
        <w:ind w:left="360"/>
        <w:textAlignment w:val="auto"/>
        <w:rPr>
          <w:rFonts w:cs="Calibri"/>
          <w:lang w:val="en-GB"/>
        </w:rPr>
      </w:pPr>
    </w:p>
    <w:p w:rsidR="006D75CB" w:rsidRPr="00406CB1" w:rsidRDefault="003C0E00" w:rsidP="006D75CB">
      <w:pPr>
        <w:widowControl/>
        <w:numPr>
          <w:ilvl w:val="0"/>
          <w:numId w:val="46"/>
        </w:numPr>
        <w:overflowPunct/>
        <w:autoSpaceDE/>
        <w:autoSpaceDN/>
        <w:adjustRightInd/>
        <w:spacing w:before="0"/>
        <w:textAlignment w:val="auto"/>
        <w:rPr>
          <w:rFonts w:cs="Calibri"/>
          <w:b/>
          <w:lang w:val="en-GB"/>
        </w:rPr>
      </w:pPr>
      <w:r w:rsidRPr="00406CB1">
        <w:rPr>
          <w:rFonts w:cs="Calibri"/>
          <w:b/>
          <w:lang w:val="en-GB"/>
        </w:rPr>
        <w:t>Annual s</w:t>
      </w:r>
      <w:r w:rsidR="006D75CB" w:rsidRPr="00406CB1">
        <w:rPr>
          <w:rFonts w:cs="Calibri"/>
          <w:b/>
          <w:lang w:val="en-GB"/>
        </w:rPr>
        <w:t>torage price</w:t>
      </w:r>
    </w:p>
    <w:p w:rsidR="003C0E00" w:rsidRPr="00406CB1" w:rsidRDefault="003C0E00" w:rsidP="003C0E00">
      <w:pPr>
        <w:widowControl/>
        <w:overflowPunct/>
        <w:autoSpaceDE/>
        <w:autoSpaceDN/>
        <w:adjustRightInd/>
        <w:spacing w:before="0"/>
        <w:textAlignment w:val="auto"/>
        <w:rPr>
          <w:rFonts w:cs="Calibri"/>
          <w:lang w:val="en-GB"/>
        </w:rPr>
      </w:pPr>
    </w:p>
    <w:p w:rsidR="003C0E00" w:rsidRPr="00D67E67" w:rsidRDefault="003C0E00" w:rsidP="003C0E00">
      <w:pPr>
        <w:pStyle w:val="Default"/>
        <w:jc w:val="center"/>
        <w:rPr>
          <w:b/>
          <w:sz w:val="23"/>
          <w:szCs w:val="23"/>
          <w:lang w:val="en-GB"/>
        </w:rPr>
      </w:pPr>
      <w:r w:rsidRPr="00D67E67">
        <w:rPr>
          <w:b/>
          <w:sz w:val="23"/>
          <w:szCs w:val="23"/>
          <w:lang w:val="en-GB"/>
        </w:rPr>
        <w:t>P</w:t>
      </w:r>
      <w:r>
        <w:rPr>
          <w:b/>
          <w:sz w:val="23"/>
          <w:szCs w:val="23"/>
          <w:lang w:val="en-GB"/>
        </w:rPr>
        <w:t>s</w:t>
      </w:r>
      <w:r w:rsidRPr="00D67E67">
        <w:rPr>
          <w:b/>
          <w:sz w:val="23"/>
          <w:szCs w:val="23"/>
          <w:lang w:val="en-GB"/>
        </w:rPr>
        <w:t xml:space="preserve"> = Δ</w:t>
      </w:r>
      <w:r w:rsidRPr="00D67E67">
        <w:rPr>
          <w:b/>
          <w:sz w:val="23"/>
          <w:szCs w:val="23"/>
          <w:vertAlign w:val="subscript"/>
          <w:lang w:val="en-GB"/>
        </w:rPr>
        <w:t>S/W</w:t>
      </w:r>
      <w:r w:rsidRPr="00D67E67">
        <w:rPr>
          <w:b/>
          <w:sz w:val="23"/>
          <w:szCs w:val="23"/>
          <w:lang w:val="en-GB"/>
        </w:rPr>
        <w:t xml:space="preserve"> + K</w:t>
      </w:r>
    </w:p>
    <w:p w:rsidR="003C0E00" w:rsidRPr="00D67E67" w:rsidRDefault="003C0E00" w:rsidP="003C0E00">
      <w:pPr>
        <w:pStyle w:val="Default"/>
        <w:ind w:firstLine="708"/>
        <w:jc w:val="both"/>
        <w:rPr>
          <w:sz w:val="23"/>
          <w:szCs w:val="23"/>
          <w:lang w:val="en-GB"/>
        </w:rPr>
      </w:pPr>
      <w:r w:rsidRPr="00D67E67">
        <w:rPr>
          <w:sz w:val="23"/>
          <w:szCs w:val="23"/>
          <w:lang w:val="en-GB"/>
        </w:rPr>
        <w:t>Where:</w:t>
      </w:r>
    </w:p>
    <w:p w:rsidR="003C0E00" w:rsidRPr="00D67E67" w:rsidRDefault="003C0E00" w:rsidP="003C0E00">
      <w:pPr>
        <w:pStyle w:val="Default"/>
        <w:jc w:val="both"/>
        <w:rPr>
          <w:sz w:val="23"/>
          <w:szCs w:val="23"/>
          <w:lang w:val="en-GB"/>
        </w:rPr>
      </w:pPr>
    </w:p>
    <w:p w:rsidR="003C0E00" w:rsidRPr="00D67E67" w:rsidRDefault="003C0E00" w:rsidP="003C0E00">
      <w:pPr>
        <w:pStyle w:val="Default"/>
        <w:ind w:left="1410" w:hanging="705"/>
        <w:jc w:val="both"/>
        <w:rPr>
          <w:sz w:val="23"/>
          <w:szCs w:val="23"/>
          <w:lang w:val="en-GB"/>
        </w:rPr>
      </w:pPr>
      <w:r w:rsidRPr="003C0E00">
        <w:rPr>
          <w:b/>
          <w:sz w:val="23"/>
          <w:szCs w:val="23"/>
          <w:lang w:val="en-GB"/>
        </w:rPr>
        <w:t>P</w:t>
      </w:r>
      <w:r w:rsidR="00C94B9C">
        <w:rPr>
          <w:b/>
          <w:sz w:val="23"/>
          <w:szCs w:val="23"/>
          <w:lang w:val="en-GB"/>
        </w:rPr>
        <w:t>s</w:t>
      </w:r>
      <w:r w:rsidRPr="00D67E67">
        <w:rPr>
          <w:sz w:val="23"/>
          <w:szCs w:val="23"/>
          <w:lang w:val="en-GB"/>
        </w:rPr>
        <w:tab/>
        <w:t>represents a unit price per year of provision of the storage services, determined in CZK per 1 MWh of the reserved storage capacity</w:t>
      </w:r>
      <w:r>
        <w:rPr>
          <w:sz w:val="23"/>
          <w:szCs w:val="23"/>
          <w:lang w:val="en-GB"/>
        </w:rPr>
        <w:t xml:space="preserve"> </w:t>
      </w:r>
      <w:r w:rsidRPr="00D67E67">
        <w:rPr>
          <w:sz w:val="23"/>
          <w:szCs w:val="23"/>
          <w:lang w:val="en-GB"/>
        </w:rPr>
        <w:t>per one storage year;</w:t>
      </w:r>
    </w:p>
    <w:p w:rsidR="003C0E00" w:rsidRPr="00D67E67" w:rsidRDefault="003C0E00" w:rsidP="003C0E00">
      <w:pPr>
        <w:pStyle w:val="Default"/>
        <w:spacing w:before="120"/>
        <w:ind w:left="1410" w:hanging="705"/>
        <w:jc w:val="both"/>
        <w:rPr>
          <w:sz w:val="23"/>
          <w:szCs w:val="23"/>
          <w:lang w:val="en-GB"/>
        </w:rPr>
      </w:pPr>
      <w:r w:rsidRPr="003C0E00">
        <w:rPr>
          <w:b/>
          <w:sz w:val="23"/>
          <w:szCs w:val="23"/>
          <w:lang w:val="en-GB"/>
        </w:rPr>
        <w:t>Δ</w:t>
      </w:r>
      <w:r w:rsidRPr="003C0E00">
        <w:rPr>
          <w:b/>
          <w:sz w:val="23"/>
          <w:szCs w:val="23"/>
          <w:vertAlign w:val="subscript"/>
          <w:lang w:val="en-GB"/>
        </w:rPr>
        <w:t>S/W</w:t>
      </w:r>
      <w:r w:rsidRPr="00D67E67">
        <w:rPr>
          <w:sz w:val="23"/>
          <w:szCs w:val="23"/>
          <w:lang w:val="en-GB"/>
        </w:rPr>
        <w:tab/>
        <w:t>represents a total average of the winter bid (W</w:t>
      </w:r>
      <w:r w:rsidRPr="00D67E67">
        <w:rPr>
          <w:sz w:val="23"/>
          <w:szCs w:val="23"/>
          <w:vertAlign w:val="subscript"/>
          <w:lang w:val="en-GB"/>
        </w:rPr>
        <w:t>B</w:t>
      </w:r>
      <w:r w:rsidRPr="00D67E67">
        <w:rPr>
          <w:sz w:val="23"/>
          <w:szCs w:val="23"/>
          <w:lang w:val="en-GB"/>
        </w:rPr>
        <w:t>) minus summer offer (S</w:t>
      </w:r>
      <w:r w:rsidRPr="00D67E67">
        <w:rPr>
          <w:sz w:val="23"/>
          <w:szCs w:val="23"/>
          <w:vertAlign w:val="subscript"/>
          <w:lang w:val="en-GB"/>
        </w:rPr>
        <w:t>O</w:t>
      </w:r>
      <w:r w:rsidRPr="00D67E67">
        <w:rPr>
          <w:sz w:val="23"/>
          <w:szCs w:val="23"/>
          <w:lang w:val="en-GB"/>
        </w:rPr>
        <w:t>) indexes</w:t>
      </w:r>
      <w:r>
        <w:rPr>
          <w:sz w:val="23"/>
          <w:szCs w:val="23"/>
          <w:lang w:val="en-GB"/>
        </w:rPr>
        <w:t xml:space="preserve"> considering the decisive time period, and drawn from the Heren European Spot Gas Markets / Germany / NCG Price Assessment (ICIS) Report for respective day of the decisive time period, determined in CZK per 1 MWh, wherein: </w:t>
      </w:r>
      <w:r w:rsidRPr="00D67E67">
        <w:rPr>
          <w:sz w:val="23"/>
          <w:szCs w:val="23"/>
          <w:lang w:val="en-GB"/>
        </w:rPr>
        <w:t xml:space="preserve"> </w:t>
      </w:r>
    </w:p>
    <w:p w:rsidR="003C0E00" w:rsidRDefault="003C0E00" w:rsidP="003C0E00">
      <w:pPr>
        <w:pStyle w:val="Default"/>
        <w:numPr>
          <w:ilvl w:val="0"/>
          <w:numId w:val="47"/>
        </w:numPr>
        <w:jc w:val="both"/>
        <w:rPr>
          <w:sz w:val="23"/>
          <w:szCs w:val="23"/>
          <w:lang w:val="en-GB"/>
        </w:rPr>
      </w:pPr>
      <w:r>
        <w:rPr>
          <w:sz w:val="23"/>
          <w:szCs w:val="23"/>
          <w:lang w:val="en-GB"/>
        </w:rPr>
        <w:t>the decisive time period shall mean the first five business days (days for which the abovementioned Heren report provides respective indexes) of each of four calendar month</w:t>
      </w:r>
      <w:r w:rsidR="00C94B9C">
        <w:rPr>
          <w:sz w:val="23"/>
          <w:szCs w:val="23"/>
          <w:lang w:val="en-GB"/>
        </w:rPr>
        <w:t>s</w:t>
      </w:r>
      <w:r>
        <w:rPr>
          <w:sz w:val="23"/>
          <w:szCs w:val="23"/>
          <w:lang w:val="en-GB"/>
        </w:rPr>
        <w:t xml:space="preserve"> preceding the first day of the storage period  (for this auction</w:t>
      </w:r>
      <w:r w:rsidR="00524F21">
        <w:rPr>
          <w:sz w:val="23"/>
          <w:szCs w:val="23"/>
          <w:lang w:val="en-GB"/>
        </w:rPr>
        <w:t>,</w:t>
      </w:r>
      <w:r>
        <w:rPr>
          <w:sz w:val="23"/>
          <w:szCs w:val="23"/>
          <w:lang w:val="en-GB"/>
        </w:rPr>
        <w:t xml:space="preserve"> the decisive period is December 2016, January – March 2017)</w:t>
      </w:r>
      <w:r w:rsidR="00524F21">
        <w:rPr>
          <w:sz w:val="23"/>
          <w:szCs w:val="23"/>
          <w:lang w:val="en-GB"/>
        </w:rPr>
        <w:t>,</w:t>
      </w:r>
    </w:p>
    <w:p w:rsidR="003C0E00" w:rsidRDefault="003C0E00" w:rsidP="003C0E00">
      <w:pPr>
        <w:pStyle w:val="Default"/>
        <w:numPr>
          <w:ilvl w:val="0"/>
          <w:numId w:val="47"/>
        </w:numPr>
        <w:jc w:val="both"/>
        <w:rPr>
          <w:sz w:val="23"/>
          <w:szCs w:val="23"/>
          <w:lang w:val="en-GB"/>
        </w:rPr>
      </w:pPr>
      <w:r>
        <w:rPr>
          <w:sz w:val="23"/>
          <w:szCs w:val="23"/>
          <w:lang w:val="en-GB"/>
        </w:rPr>
        <w:t xml:space="preserve">for the conversion of EUR to CZK, an exchange rate announced by the Czech National Bank for each respective day which </w:t>
      </w:r>
      <w:r w:rsidRPr="00D67E67">
        <w:rPr>
          <w:sz w:val="23"/>
          <w:szCs w:val="23"/>
          <w:lang w:val="en-GB"/>
        </w:rPr>
        <w:t>W</w:t>
      </w:r>
      <w:r w:rsidRPr="00D67E67">
        <w:rPr>
          <w:sz w:val="23"/>
          <w:szCs w:val="23"/>
          <w:vertAlign w:val="subscript"/>
          <w:lang w:val="en-GB"/>
        </w:rPr>
        <w:t>B</w:t>
      </w:r>
      <w:r>
        <w:rPr>
          <w:sz w:val="23"/>
          <w:szCs w:val="23"/>
          <w:lang w:val="en-GB"/>
        </w:rPr>
        <w:t xml:space="preserve"> and </w:t>
      </w:r>
      <w:r w:rsidRPr="00D67E67">
        <w:rPr>
          <w:sz w:val="23"/>
          <w:szCs w:val="23"/>
          <w:lang w:val="en-GB"/>
        </w:rPr>
        <w:t>S</w:t>
      </w:r>
      <w:r w:rsidRPr="00D67E67">
        <w:rPr>
          <w:sz w:val="23"/>
          <w:szCs w:val="23"/>
          <w:vertAlign w:val="subscript"/>
          <w:lang w:val="en-GB"/>
        </w:rPr>
        <w:t>O</w:t>
      </w:r>
      <w:r>
        <w:rPr>
          <w:sz w:val="23"/>
          <w:szCs w:val="23"/>
          <w:lang w:val="en-GB"/>
        </w:rPr>
        <w:t xml:space="preserve"> indexes are drawn from, shall be decisive, this conversion shall be done without rounding, </w:t>
      </w:r>
      <w:r w:rsidRPr="00D67E67">
        <w:rPr>
          <w:sz w:val="23"/>
          <w:szCs w:val="23"/>
          <w:lang w:val="en-GB"/>
        </w:rPr>
        <w:t xml:space="preserve">    </w:t>
      </w:r>
    </w:p>
    <w:p w:rsidR="003C0E00" w:rsidRPr="00DC2297" w:rsidRDefault="003C0E00" w:rsidP="003C0E00">
      <w:pPr>
        <w:pStyle w:val="Default"/>
        <w:numPr>
          <w:ilvl w:val="0"/>
          <w:numId w:val="47"/>
        </w:numPr>
        <w:jc w:val="both"/>
        <w:rPr>
          <w:sz w:val="23"/>
          <w:szCs w:val="23"/>
          <w:lang w:val="en-GB"/>
        </w:rPr>
      </w:pPr>
      <w:r>
        <w:rPr>
          <w:sz w:val="23"/>
          <w:szCs w:val="23"/>
          <w:lang w:val="en-GB"/>
        </w:rPr>
        <w:t>the total average of the indexes for the decisive time period shall rounded up, so that the final number shall be divisible by 0.5 without remainder;</w:t>
      </w:r>
    </w:p>
    <w:p w:rsidR="003C0E00" w:rsidRDefault="003C0E00" w:rsidP="003C0E00">
      <w:pPr>
        <w:pStyle w:val="Default"/>
        <w:spacing w:before="120"/>
        <w:ind w:left="1410" w:hanging="705"/>
        <w:jc w:val="both"/>
        <w:rPr>
          <w:sz w:val="23"/>
          <w:szCs w:val="23"/>
          <w:lang w:val="en-GB"/>
        </w:rPr>
      </w:pPr>
      <w:r w:rsidRPr="003C0E00">
        <w:rPr>
          <w:b/>
          <w:sz w:val="23"/>
          <w:szCs w:val="23"/>
          <w:lang w:val="en-GB"/>
        </w:rPr>
        <w:t>K </w:t>
      </w:r>
      <w:r w:rsidRPr="00D67E67">
        <w:rPr>
          <w:sz w:val="23"/>
          <w:szCs w:val="23"/>
          <w:lang w:val="en-GB"/>
        </w:rPr>
        <w:tab/>
      </w:r>
      <w:r>
        <w:rPr>
          <w:sz w:val="23"/>
          <w:szCs w:val="23"/>
          <w:lang w:val="en-GB"/>
        </w:rPr>
        <w:t xml:space="preserve">represents a </w:t>
      </w:r>
      <w:r w:rsidR="00524F21">
        <w:rPr>
          <w:sz w:val="23"/>
          <w:szCs w:val="23"/>
          <w:lang w:val="en-GB"/>
        </w:rPr>
        <w:t xml:space="preserve">coefficient achieved as the result of the auction held on </w:t>
      </w:r>
      <w:r w:rsidR="00524F21" w:rsidRPr="00524F21">
        <w:rPr>
          <w:sz w:val="23"/>
          <w:szCs w:val="23"/>
          <w:highlight w:val="yellow"/>
          <w:lang w:val="en-GB"/>
        </w:rPr>
        <w:t>[●]</w:t>
      </w:r>
      <w:r w:rsidR="00524F21" w:rsidRPr="00524F21">
        <w:rPr>
          <w:sz w:val="23"/>
          <w:szCs w:val="23"/>
          <w:lang w:val="en-GB"/>
        </w:rPr>
        <w:t xml:space="preserve"> </w:t>
      </w:r>
      <w:r w:rsidR="00524F21">
        <w:rPr>
          <w:sz w:val="23"/>
          <w:szCs w:val="23"/>
          <w:lang w:val="en-GB"/>
        </w:rPr>
        <w:t xml:space="preserve"> and set at </w:t>
      </w:r>
      <w:r>
        <w:rPr>
          <w:sz w:val="23"/>
          <w:szCs w:val="23"/>
          <w:lang w:val="en-GB"/>
        </w:rPr>
        <w:t>“</w:t>
      </w:r>
      <w:r w:rsidR="00524F21" w:rsidRPr="00524F21">
        <w:rPr>
          <w:sz w:val="23"/>
          <w:szCs w:val="23"/>
          <w:highlight w:val="yellow"/>
          <w:lang w:val="en-GB"/>
        </w:rPr>
        <w:t>[●]</w:t>
      </w:r>
      <w:r w:rsidR="00524F21">
        <w:rPr>
          <w:sz w:val="23"/>
          <w:szCs w:val="23"/>
          <w:lang w:val="en-GB"/>
        </w:rPr>
        <w:t> </w:t>
      </w:r>
      <w:r>
        <w:rPr>
          <w:sz w:val="23"/>
          <w:szCs w:val="23"/>
          <w:lang w:val="en-GB"/>
        </w:rPr>
        <w:t>CZK per 1 MWh” (</w:t>
      </w:r>
      <w:r w:rsidR="00524F21">
        <w:rPr>
          <w:sz w:val="23"/>
          <w:szCs w:val="23"/>
          <w:lang w:val="en-GB"/>
        </w:rPr>
        <w:t xml:space="preserve">in words: </w:t>
      </w:r>
      <w:r w:rsidR="00524F21" w:rsidRPr="00524F21">
        <w:rPr>
          <w:sz w:val="23"/>
          <w:szCs w:val="23"/>
          <w:highlight w:val="yellow"/>
          <w:lang w:val="en-GB"/>
        </w:rPr>
        <w:t>[●]</w:t>
      </w:r>
      <w:r w:rsidR="00524F21" w:rsidRPr="00524F21">
        <w:rPr>
          <w:sz w:val="23"/>
          <w:szCs w:val="23"/>
          <w:lang w:val="en-GB"/>
        </w:rPr>
        <w:t xml:space="preserve"> </w:t>
      </w:r>
      <w:r>
        <w:rPr>
          <w:sz w:val="23"/>
          <w:szCs w:val="23"/>
          <w:lang w:val="en-GB"/>
        </w:rPr>
        <w:t>).</w:t>
      </w:r>
    </w:p>
    <w:p w:rsidR="00524F21" w:rsidRDefault="00524F21" w:rsidP="00524F21">
      <w:pPr>
        <w:pStyle w:val="Default"/>
        <w:spacing w:before="120"/>
        <w:ind w:left="709" w:hanging="4"/>
        <w:jc w:val="both"/>
        <w:rPr>
          <w:sz w:val="23"/>
          <w:szCs w:val="23"/>
          <w:lang w:val="en-GB"/>
        </w:rPr>
      </w:pPr>
    </w:p>
    <w:p w:rsidR="00524F21" w:rsidRDefault="00524F21" w:rsidP="00524F21">
      <w:pPr>
        <w:pStyle w:val="Default"/>
        <w:spacing w:before="120"/>
        <w:ind w:left="709" w:hanging="4"/>
        <w:jc w:val="both"/>
        <w:rPr>
          <w:sz w:val="23"/>
          <w:szCs w:val="23"/>
          <w:lang w:val="en-GB"/>
        </w:rPr>
      </w:pPr>
      <w:r>
        <w:rPr>
          <w:sz w:val="23"/>
          <w:szCs w:val="23"/>
          <w:lang w:val="en-GB"/>
        </w:rPr>
        <w:t>The annual storage price shall be calculated as product of the unit price and reserved storage capacity as stipulated in Article III. Para. 1 of this Contract.</w:t>
      </w:r>
    </w:p>
    <w:p w:rsidR="00524F21" w:rsidRDefault="00524F21" w:rsidP="003C0E00">
      <w:pPr>
        <w:pStyle w:val="Default"/>
        <w:spacing w:before="120"/>
        <w:ind w:left="1410" w:hanging="705"/>
        <w:jc w:val="both"/>
        <w:rPr>
          <w:sz w:val="23"/>
          <w:szCs w:val="23"/>
          <w:lang w:val="en-GB"/>
        </w:rPr>
      </w:pPr>
    </w:p>
    <w:p w:rsidR="006D75CB" w:rsidRPr="00406CB1" w:rsidRDefault="003C0E00" w:rsidP="006D75CB">
      <w:pPr>
        <w:widowControl/>
        <w:numPr>
          <w:ilvl w:val="0"/>
          <w:numId w:val="46"/>
        </w:numPr>
        <w:overflowPunct/>
        <w:autoSpaceDE/>
        <w:autoSpaceDN/>
        <w:adjustRightInd/>
        <w:spacing w:before="0"/>
        <w:textAlignment w:val="auto"/>
        <w:rPr>
          <w:rFonts w:cs="Calibri"/>
          <w:b/>
          <w:lang w:val="en-GB"/>
        </w:rPr>
      </w:pPr>
      <w:r w:rsidRPr="00406CB1">
        <w:rPr>
          <w:rFonts w:cs="Calibri"/>
          <w:b/>
          <w:lang w:val="en-GB"/>
        </w:rPr>
        <w:lastRenderedPageBreak/>
        <w:t>Annual s</w:t>
      </w:r>
      <w:r w:rsidR="006D75CB" w:rsidRPr="00406CB1">
        <w:rPr>
          <w:rFonts w:cs="Calibri"/>
          <w:b/>
          <w:lang w:val="en-GB"/>
        </w:rPr>
        <w:t>torage related activities price</w:t>
      </w:r>
    </w:p>
    <w:p w:rsidR="003C0E00" w:rsidRPr="00406CB1" w:rsidRDefault="003C0E00" w:rsidP="003C0E00">
      <w:pPr>
        <w:widowControl/>
        <w:overflowPunct/>
        <w:autoSpaceDE/>
        <w:autoSpaceDN/>
        <w:adjustRightInd/>
        <w:spacing w:before="0"/>
        <w:ind w:left="360"/>
        <w:textAlignment w:val="auto"/>
        <w:rPr>
          <w:rFonts w:cs="Calibri"/>
          <w:lang w:val="en-GB"/>
        </w:rPr>
      </w:pPr>
    </w:p>
    <w:p w:rsidR="003C0E00" w:rsidRPr="00127B0C" w:rsidRDefault="003C0E00" w:rsidP="003C0E00">
      <w:pPr>
        <w:pStyle w:val="Odstavecseseznamem"/>
        <w:spacing w:before="60" w:after="60"/>
        <w:ind w:left="296" w:firstLine="413"/>
        <w:rPr>
          <w:lang w:val="en-GB"/>
        </w:rPr>
      </w:pPr>
      <w:r w:rsidRPr="00127B0C">
        <w:rPr>
          <w:lang w:val="en-GB"/>
        </w:rPr>
        <w:t>The annual price for the storage related activities is</w:t>
      </w:r>
      <w:r w:rsidR="00524F21">
        <w:rPr>
          <w:lang w:val="en-GB"/>
        </w:rPr>
        <w:t xml:space="preserve"> stipulated in CZK and shall be</w:t>
      </w:r>
      <w:r w:rsidRPr="00127B0C">
        <w:rPr>
          <w:lang w:val="en-GB"/>
        </w:rPr>
        <w:t xml:space="preserve"> calculated </w:t>
      </w:r>
      <w:r w:rsidR="00524F21">
        <w:rPr>
          <w:lang w:val="en-GB"/>
        </w:rPr>
        <w:tab/>
      </w:r>
      <w:r w:rsidRPr="00127B0C">
        <w:rPr>
          <w:lang w:val="en-GB"/>
        </w:rPr>
        <w:t>according to the following equation:</w:t>
      </w:r>
    </w:p>
    <w:p w:rsidR="003C0E00" w:rsidRPr="00A053EE" w:rsidRDefault="00A053EE" w:rsidP="003C0E00">
      <w:pPr>
        <w:pStyle w:val="Odstavecseseznamem"/>
        <w:spacing w:before="60" w:after="60"/>
        <w:ind w:left="993"/>
        <w:jc w:val="center"/>
        <w:rPr>
          <w:lang w:val="en-GB"/>
        </w:rPr>
      </w:pPr>
      <m:oMathPara>
        <m:oMath>
          <m:r>
            <w:rPr>
              <w:rFonts w:ascii="Cambria Math" w:hAnsi="Cambria Math"/>
            </w:rPr>
            <m:t xml:space="preserve">Pc= </m:t>
          </m:r>
          <m:f>
            <m:fPr>
              <m:ctrlPr>
                <w:rPr>
                  <w:rFonts w:ascii="Cambria Math" w:hAnsi="Cambria Math"/>
                  <w:i/>
                </w:rPr>
              </m:ctrlPr>
            </m:fPr>
            <m:num>
              <m:r>
                <w:rPr>
                  <w:rFonts w:ascii="Cambria Math" w:hAnsi="Cambria Math"/>
                </w:rPr>
                <m:t>C</m:t>
              </m:r>
            </m:num>
            <m:den>
              <m:r>
                <w:rPr>
                  <w:rFonts w:ascii="Cambria Math" w:hAnsi="Cambria Math"/>
                </w:rPr>
                <m:t>DTw</m:t>
              </m:r>
            </m:den>
          </m:f>
          <m:r>
            <w:rPr>
              <w:rFonts w:ascii="Cambria Math" w:hAnsi="Cambria Math"/>
            </w:rPr>
            <m:t>×Dmax</m:t>
          </m:r>
        </m:oMath>
      </m:oMathPara>
    </w:p>
    <w:p w:rsidR="003C0E00" w:rsidRPr="00127B0C" w:rsidRDefault="003C0E00" w:rsidP="003C0E00">
      <w:pPr>
        <w:pStyle w:val="Odstavecseseznamem"/>
        <w:spacing w:after="60"/>
        <w:ind w:left="993"/>
        <w:rPr>
          <w:lang w:val="en-GB"/>
        </w:rPr>
      </w:pPr>
      <w:r w:rsidRPr="00127B0C">
        <w:rPr>
          <w:lang w:val="en-GB"/>
        </w:rPr>
        <w:t>Where:</w:t>
      </w:r>
    </w:p>
    <w:p w:rsidR="003C0E00" w:rsidRPr="00127B0C" w:rsidRDefault="003C0E00" w:rsidP="003C0E00">
      <w:pPr>
        <w:pStyle w:val="Odstavecseseznamem"/>
        <w:spacing w:after="60"/>
        <w:ind w:left="1701" w:hanging="708"/>
        <w:jc w:val="both"/>
        <w:rPr>
          <w:b/>
          <w:lang w:val="en-GB"/>
        </w:rPr>
      </w:pPr>
      <w:r w:rsidRPr="00127B0C">
        <w:rPr>
          <w:b/>
          <w:lang w:val="en-GB"/>
        </w:rPr>
        <w:t>Pc</w:t>
      </w:r>
      <w:r w:rsidRPr="00127B0C">
        <w:rPr>
          <w:b/>
          <w:lang w:val="en-GB"/>
        </w:rPr>
        <w:tab/>
      </w:r>
      <w:r w:rsidRPr="00127B0C">
        <w:rPr>
          <w:lang w:val="en-GB"/>
        </w:rPr>
        <w:t>represents annual price for the storage related activities,</w:t>
      </w:r>
    </w:p>
    <w:p w:rsidR="003C0E00" w:rsidRPr="00127B0C" w:rsidRDefault="003C0E00" w:rsidP="003C0E00">
      <w:pPr>
        <w:pStyle w:val="Odstavecseseznamem"/>
        <w:spacing w:before="60" w:after="60"/>
        <w:ind w:left="1701" w:hanging="708"/>
        <w:jc w:val="both"/>
        <w:rPr>
          <w:lang w:val="en-GB"/>
        </w:rPr>
      </w:pPr>
      <w:r w:rsidRPr="00127B0C">
        <w:rPr>
          <w:b/>
          <w:lang w:val="en-GB"/>
        </w:rPr>
        <w:t>C</w:t>
      </w:r>
      <w:r w:rsidRPr="00127B0C">
        <w:rPr>
          <w:lang w:val="en-GB"/>
        </w:rPr>
        <w:t> </w:t>
      </w:r>
      <w:r w:rsidRPr="00127B0C">
        <w:rPr>
          <w:lang w:val="en-GB"/>
        </w:rPr>
        <w:tab/>
        <w:t xml:space="preserve">represents annual costs </w:t>
      </w:r>
      <w:r w:rsidR="00524F21">
        <w:rPr>
          <w:lang w:val="en-GB"/>
        </w:rPr>
        <w:t>basis</w:t>
      </w:r>
      <w:r w:rsidRPr="00127B0C">
        <w:rPr>
          <w:lang w:val="en-GB"/>
        </w:rPr>
        <w:t>, set at the amount of 12 000 000 CZK,</w:t>
      </w:r>
    </w:p>
    <w:p w:rsidR="003C0E00" w:rsidRPr="00127B0C" w:rsidRDefault="003C0E00" w:rsidP="003C0E00">
      <w:pPr>
        <w:pStyle w:val="Odstavecseseznamem"/>
        <w:spacing w:after="60"/>
        <w:ind w:left="1701" w:hanging="708"/>
        <w:jc w:val="both"/>
        <w:rPr>
          <w:lang w:val="en-GB"/>
        </w:rPr>
      </w:pPr>
      <w:r w:rsidRPr="00127B0C">
        <w:rPr>
          <w:b/>
          <w:lang w:val="en-GB"/>
        </w:rPr>
        <w:t>DTw</w:t>
      </w:r>
      <w:r w:rsidRPr="00127B0C">
        <w:rPr>
          <w:lang w:val="en-GB"/>
        </w:rPr>
        <w:t xml:space="preserve"> </w:t>
      </w:r>
      <w:r w:rsidRPr="00127B0C">
        <w:rPr>
          <w:lang w:val="en-GB"/>
        </w:rPr>
        <w:tab/>
        <w:t xml:space="preserve">represents daily maximum withdrawal output for the virtual gas storage of the Storage Operator, as announced on the Storage Operator’s webpages for the </w:t>
      </w:r>
      <w:r w:rsidR="00127B0C" w:rsidRPr="00127B0C">
        <w:rPr>
          <w:lang w:val="en-GB"/>
        </w:rPr>
        <w:t>respective</w:t>
      </w:r>
      <w:r w:rsidRPr="00127B0C">
        <w:rPr>
          <w:lang w:val="en-GB"/>
        </w:rPr>
        <w:t xml:space="preserve"> storage year, determined in MWh per day (for conversion of cubic meters into kWh a calorific value of 10.624 shall be used),</w:t>
      </w:r>
    </w:p>
    <w:p w:rsidR="003C0E00" w:rsidRPr="00406CB1" w:rsidRDefault="003C0E00" w:rsidP="003C0E00">
      <w:pPr>
        <w:widowControl/>
        <w:overflowPunct/>
        <w:autoSpaceDE/>
        <w:autoSpaceDN/>
        <w:adjustRightInd/>
        <w:spacing w:before="0"/>
        <w:ind w:left="1701" w:hanging="708"/>
        <w:textAlignment w:val="auto"/>
        <w:rPr>
          <w:rFonts w:cs="Calibri"/>
          <w:lang w:val="en-GB"/>
        </w:rPr>
      </w:pPr>
      <w:r w:rsidRPr="00127B0C">
        <w:rPr>
          <w:b/>
          <w:lang w:val="en-GB"/>
        </w:rPr>
        <w:t>Dmax</w:t>
      </w:r>
      <w:r w:rsidRPr="00127B0C">
        <w:rPr>
          <w:lang w:val="en-GB"/>
        </w:rPr>
        <w:t xml:space="preserve"> </w:t>
      </w:r>
      <w:r w:rsidRPr="00127B0C">
        <w:rPr>
          <w:lang w:val="en-GB"/>
        </w:rPr>
        <w:tab/>
        <w:t>represents daily maximum withdrawal or injection output of the Storage User (</w:t>
      </w:r>
      <w:r w:rsidR="00127B0C" w:rsidRPr="00127B0C">
        <w:rPr>
          <w:lang w:val="en-GB"/>
        </w:rPr>
        <w:t xml:space="preserve">higher of both values shall be determinative) stated in Article </w:t>
      </w:r>
      <w:r w:rsidRPr="00127B0C">
        <w:rPr>
          <w:lang w:val="en-GB"/>
        </w:rPr>
        <w:t>III.</w:t>
      </w:r>
      <w:r w:rsidR="00127B0C" w:rsidRPr="00127B0C">
        <w:rPr>
          <w:lang w:val="en-GB"/>
        </w:rPr>
        <w:t xml:space="preserve"> </w:t>
      </w:r>
      <w:r w:rsidR="00524F21">
        <w:rPr>
          <w:lang w:val="en-GB"/>
        </w:rPr>
        <w:t>P</w:t>
      </w:r>
      <w:r w:rsidR="00127B0C" w:rsidRPr="00127B0C">
        <w:rPr>
          <w:lang w:val="en-GB"/>
        </w:rPr>
        <w:t>ara</w:t>
      </w:r>
      <w:r w:rsidRPr="00127B0C">
        <w:rPr>
          <w:lang w:val="en-GB"/>
        </w:rPr>
        <w:t xml:space="preserve">. 1. </w:t>
      </w:r>
      <w:r w:rsidR="00127B0C" w:rsidRPr="00127B0C">
        <w:rPr>
          <w:lang w:val="en-GB"/>
        </w:rPr>
        <w:t>of this Contract</w:t>
      </w:r>
      <w:r w:rsidRPr="00127B0C">
        <w:rPr>
          <w:lang w:val="en-GB"/>
        </w:rPr>
        <w:t xml:space="preserve">, </w:t>
      </w:r>
      <w:r w:rsidR="00127B0C" w:rsidRPr="00127B0C">
        <w:rPr>
          <w:lang w:val="en-GB"/>
        </w:rPr>
        <w:t xml:space="preserve">determined in </w:t>
      </w:r>
      <w:r w:rsidRPr="00127B0C">
        <w:rPr>
          <w:lang w:val="en-GB"/>
        </w:rPr>
        <w:t xml:space="preserve">MWh </w:t>
      </w:r>
      <w:r w:rsidR="00127B0C" w:rsidRPr="00127B0C">
        <w:rPr>
          <w:lang w:val="en-GB"/>
        </w:rPr>
        <w:t>per day</w:t>
      </w:r>
      <w:r w:rsidRPr="003C0E00">
        <w:t>.</w:t>
      </w:r>
    </w:p>
    <w:p w:rsidR="003C0E00" w:rsidRPr="00406CB1" w:rsidRDefault="003C0E00" w:rsidP="003C0E00">
      <w:pPr>
        <w:widowControl/>
        <w:overflowPunct/>
        <w:autoSpaceDE/>
        <w:autoSpaceDN/>
        <w:adjustRightInd/>
        <w:spacing w:before="0"/>
        <w:ind w:left="426" w:hanging="426"/>
        <w:textAlignment w:val="auto"/>
        <w:rPr>
          <w:rFonts w:cs="Calibri"/>
          <w:lang w:val="en-GB"/>
        </w:rPr>
      </w:pPr>
    </w:p>
    <w:p w:rsidR="003756E9" w:rsidRPr="00406CB1" w:rsidRDefault="006D75CB" w:rsidP="003C0E00">
      <w:pPr>
        <w:widowControl/>
        <w:overflowPunct/>
        <w:autoSpaceDE/>
        <w:autoSpaceDN/>
        <w:adjustRightInd/>
        <w:spacing w:before="0"/>
        <w:ind w:left="426" w:hanging="426"/>
        <w:textAlignment w:val="auto"/>
        <w:rPr>
          <w:rFonts w:cs="Calibri"/>
          <w:lang w:val="en-GB"/>
        </w:rPr>
      </w:pPr>
      <w:r w:rsidRPr="00406CB1">
        <w:rPr>
          <w:rFonts w:cs="Calibri"/>
          <w:lang w:val="en-GB"/>
        </w:rPr>
        <w:t xml:space="preserve">2.   </w:t>
      </w:r>
      <w:r w:rsidR="003C0E00" w:rsidRPr="00406CB1">
        <w:rPr>
          <w:rFonts w:cs="Calibri"/>
          <w:lang w:val="en-GB"/>
        </w:rPr>
        <w:tab/>
      </w:r>
      <w:r w:rsidRPr="00406CB1">
        <w:rPr>
          <w:rFonts w:cs="Calibri"/>
          <w:lang w:val="en-GB"/>
        </w:rPr>
        <w:t xml:space="preserve">Total </w:t>
      </w:r>
      <w:r w:rsidR="003C0E00" w:rsidRPr="00406CB1">
        <w:rPr>
          <w:rFonts w:cs="Calibri"/>
          <w:lang w:val="en-GB"/>
        </w:rPr>
        <w:t xml:space="preserve">annual </w:t>
      </w:r>
      <w:r w:rsidRPr="00406CB1">
        <w:rPr>
          <w:rFonts w:cs="Calibri"/>
          <w:lang w:val="en-GB"/>
        </w:rPr>
        <w:t xml:space="preserve">price for the Storage Services shall amount to the sum of the </w:t>
      </w:r>
      <w:r w:rsidR="003C0E00" w:rsidRPr="00406CB1">
        <w:rPr>
          <w:rFonts w:cs="Calibri"/>
          <w:lang w:val="en-GB"/>
        </w:rPr>
        <w:t>annual</w:t>
      </w:r>
      <w:r w:rsidRPr="00406CB1">
        <w:rPr>
          <w:rFonts w:cs="Calibri"/>
          <w:lang w:val="en-GB"/>
        </w:rPr>
        <w:t xml:space="preserve"> s</w:t>
      </w:r>
      <w:r w:rsidR="003C0E00" w:rsidRPr="00406CB1">
        <w:rPr>
          <w:rFonts w:cs="Calibri"/>
          <w:lang w:val="en-GB"/>
        </w:rPr>
        <w:t>torage price</w:t>
      </w:r>
      <w:r w:rsidR="00127B0C" w:rsidRPr="00406CB1">
        <w:rPr>
          <w:rFonts w:cs="Calibri"/>
          <w:lang w:val="en-GB"/>
        </w:rPr>
        <w:t xml:space="preserve"> </w:t>
      </w:r>
      <w:r w:rsidR="00127B0C" w:rsidRPr="00127B0C">
        <w:t>(</w:t>
      </w:r>
      <w:r w:rsidR="00127B0C" w:rsidRPr="00127B0C">
        <w:rPr>
          <w:i/>
        </w:rPr>
        <w:t>Ps</w:t>
      </w:r>
      <w:r w:rsidR="00127B0C" w:rsidRPr="00127B0C">
        <w:t>)</w:t>
      </w:r>
      <w:r w:rsidR="003C0E00" w:rsidRPr="00406CB1">
        <w:rPr>
          <w:rFonts w:cs="Calibri"/>
          <w:lang w:val="en-GB"/>
        </w:rPr>
        <w:t xml:space="preserve"> and annual price for the storage related services</w:t>
      </w:r>
      <w:r w:rsidR="00127B0C" w:rsidRPr="00406CB1">
        <w:rPr>
          <w:rFonts w:cs="Calibri"/>
          <w:lang w:val="en-GB"/>
        </w:rPr>
        <w:t xml:space="preserve"> </w:t>
      </w:r>
      <w:r w:rsidR="00127B0C" w:rsidRPr="00127B0C">
        <w:t>(</w:t>
      </w:r>
      <w:r w:rsidR="00127B0C" w:rsidRPr="00127B0C">
        <w:rPr>
          <w:i/>
        </w:rPr>
        <w:t>Pc</w:t>
      </w:r>
      <w:r w:rsidR="00127B0C" w:rsidRPr="00127B0C">
        <w:t>)</w:t>
      </w:r>
      <w:r w:rsidR="003C0E00" w:rsidRPr="00406CB1">
        <w:rPr>
          <w:rFonts w:cs="Calibri"/>
          <w:lang w:val="en-GB"/>
        </w:rPr>
        <w:t>.</w:t>
      </w:r>
    </w:p>
    <w:p w:rsidR="003C0E00" w:rsidRPr="00406CB1" w:rsidRDefault="003C0E00" w:rsidP="006D75CB">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3.</w:t>
      </w:r>
      <w:r w:rsidRPr="00406CB1">
        <w:rPr>
          <w:rFonts w:cs="Calibri"/>
          <w:lang w:val="en-GB"/>
        </w:rPr>
        <w:tab/>
        <w:t xml:space="preserve">Total monthly price for </w:t>
      </w:r>
      <w:r w:rsidR="003C0E00" w:rsidRPr="00406CB1">
        <w:rPr>
          <w:rFonts w:cs="Calibri"/>
          <w:lang w:val="en-GB"/>
        </w:rPr>
        <w:t>S</w:t>
      </w:r>
      <w:r w:rsidRPr="00406CB1">
        <w:rPr>
          <w:rFonts w:cs="Calibri"/>
          <w:lang w:val="en-GB"/>
        </w:rPr>
        <w:t xml:space="preserve">torage </w:t>
      </w:r>
      <w:r w:rsidR="003C0E00" w:rsidRPr="00406CB1">
        <w:rPr>
          <w:rFonts w:cs="Calibri"/>
          <w:lang w:val="en-GB"/>
        </w:rPr>
        <w:t>S</w:t>
      </w:r>
      <w:r w:rsidRPr="00406CB1">
        <w:rPr>
          <w:rFonts w:cs="Calibri"/>
          <w:lang w:val="en-GB"/>
        </w:rPr>
        <w:t>ervices, expressed in CZK</w:t>
      </w:r>
      <w:r w:rsidR="00127B0C" w:rsidRPr="00406CB1">
        <w:rPr>
          <w:rFonts w:cs="Calibri"/>
          <w:lang w:val="en-GB"/>
        </w:rPr>
        <w:t xml:space="preserve"> per </w:t>
      </w:r>
      <w:r w:rsidRPr="00406CB1">
        <w:rPr>
          <w:rFonts w:cs="Calibri"/>
          <w:lang w:val="en-GB"/>
        </w:rPr>
        <w:t>month</w:t>
      </w:r>
      <w:r w:rsidR="003C0E00" w:rsidRPr="00406CB1">
        <w:rPr>
          <w:rFonts w:cs="Calibri"/>
          <w:lang w:val="en-GB"/>
        </w:rPr>
        <w:t xml:space="preserve"> is </w:t>
      </w:r>
      <w:r w:rsidRPr="00406CB1">
        <w:rPr>
          <w:rFonts w:cs="Calibri"/>
          <w:lang w:val="en-GB"/>
        </w:rPr>
        <w:t xml:space="preserve">calculated as 1/12 of total annual </w:t>
      </w:r>
      <w:r w:rsidR="003C0E00" w:rsidRPr="00406CB1">
        <w:rPr>
          <w:rFonts w:cs="Calibri"/>
          <w:lang w:val="en-GB"/>
        </w:rPr>
        <w:t>price for the Storage Services</w:t>
      </w:r>
      <w:r w:rsidRPr="00406CB1">
        <w:rPr>
          <w:rFonts w:cs="Calibri"/>
          <w:lang w:val="en-GB"/>
        </w:rPr>
        <w: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4.</w:t>
      </w:r>
      <w:r w:rsidRPr="00406CB1">
        <w:rPr>
          <w:rFonts w:cs="Calibri"/>
          <w:lang w:val="en-GB"/>
        </w:rPr>
        <w:tab/>
        <w:t>Unless otherwise stated, all the price provision associated with the work “month” shall be considered for the gas month period, and those associated with the word “year” shall be considered for the storage year period.</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 xml:space="preserve">V. </w:t>
      </w:r>
      <w:r w:rsidRPr="00406CB1">
        <w:rPr>
          <w:rFonts w:cs="Calibri"/>
          <w:b/>
          <w:bCs/>
          <w:lang w:val="en-GB"/>
        </w:rPr>
        <w:tab/>
        <w:t>Terms of Payment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Storage User shall be liable to pay for storage service on monthly basis (for each gas month of the Contract effectiveness) the back payment to Storage Operator amounting to total monthly price for storage service inclusive all taxes or fees charged in conformity with the generally binding legal regulations, calculated for the respective gas month in line with the previous Clause, based on</w:t>
      </w:r>
      <w:r w:rsidR="00127B0C" w:rsidRPr="00406CB1">
        <w:rPr>
          <w:rFonts w:cs="Calibri"/>
          <w:lang w:val="en-GB"/>
        </w:rPr>
        <w:t xml:space="preserve"> tax</w:t>
      </w:r>
      <w:r w:rsidRPr="00406CB1">
        <w:rPr>
          <w:rFonts w:cs="Calibri"/>
          <w:lang w:val="en-GB"/>
        </w:rPr>
        <w:t xml:space="preserve"> </w:t>
      </w:r>
      <w:r w:rsidR="00127B0C" w:rsidRPr="00406CB1">
        <w:rPr>
          <w:rFonts w:cs="Calibri"/>
          <w:lang w:val="en-GB"/>
        </w:rPr>
        <w:t xml:space="preserve">certificate - invoice </w:t>
      </w:r>
      <w:r w:rsidRPr="00406CB1">
        <w:rPr>
          <w:rFonts w:cs="Calibri"/>
          <w:lang w:val="en-GB"/>
        </w:rPr>
        <w:t xml:space="preserve">issued by the Storage Operator. Storage Operator shall issue the </w:t>
      </w:r>
      <w:r w:rsidR="00127B0C" w:rsidRPr="00406CB1">
        <w:rPr>
          <w:rFonts w:cs="Calibri"/>
          <w:lang w:val="en-GB"/>
        </w:rPr>
        <w:t xml:space="preserve">invoice </w:t>
      </w:r>
      <w:r w:rsidRPr="00406CB1">
        <w:rPr>
          <w:rFonts w:cs="Calibri"/>
          <w:lang w:val="en-GB"/>
        </w:rPr>
        <w:t>for relevant gas month and send it to the Storage User no later than by 5</w:t>
      </w:r>
      <w:r w:rsidRPr="00406CB1">
        <w:rPr>
          <w:rFonts w:cs="Calibri"/>
          <w:vertAlign w:val="superscript"/>
          <w:lang w:val="en-GB"/>
        </w:rPr>
        <w:t>th</w:t>
      </w:r>
      <w:r w:rsidRPr="00406CB1">
        <w:rPr>
          <w:rFonts w:cs="Calibri"/>
          <w:lang w:val="en-GB"/>
        </w:rPr>
        <w:t xml:space="preserve"> business day of calendar month that follows immediately the month for which such price has been fixed.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 xml:space="preserve">Storage User shall be liable to pay total monthly price for storage service for the respective gas month no later than within 15 calendar days after receipt of the relevant </w:t>
      </w:r>
      <w:r w:rsidR="00127B0C" w:rsidRPr="00406CB1">
        <w:rPr>
          <w:rFonts w:cs="Calibri"/>
          <w:lang w:val="en-GB"/>
        </w:rPr>
        <w:t>invoice</w:t>
      </w:r>
      <w:r w:rsidRPr="00406CB1">
        <w:rPr>
          <w:rFonts w:cs="Calibri"/>
          <w:lang w:val="en-GB"/>
        </w:rPr>
        <w:t xml:space="preserve">, and this through cashless transfer to the Storage Operator’s account specified on the </w:t>
      </w:r>
      <w:r w:rsidR="00127B0C" w:rsidRPr="00406CB1">
        <w:rPr>
          <w:rFonts w:cs="Calibri"/>
          <w:lang w:val="en-GB"/>
        </w:rPr>
        <w:t>invoice</w:t>
      </w:r>
      <w:r w:rsidRPr="00406CB1">
        <w:rPr>
          <w:rFonts w:cs="Calibri"/>
          <w:lang w:val="en-GB"/>
        </w:rPr>
        <w: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numPr>
          <w:ilvl w:val="0"/>
          <w:numId w:val="45"/>
        </w:numPr>
        <w:overflowPunct/>
        <w:autoSpaceDE/>
        <w:autoSpaceDN/>
        <w:adjustRightInd/>
        <w:spacing w:before="0"/>
        <w:jc w:val="left"/>
        <w:textAlignment w:val="auto"/>
        <w:rPr>
          <w:rFonts w:cs="Calibri"/>
          <w:lang w:val="en-GB"/>
        </w:rPr>
      </w:pPr>
      <w:r w:rsidRPr="00406CB1">
        <w:rPr>
          <w:rFonts w:cs="Calibri"/>
          <w:lang w:val="en-GB"/>
        </w:rPr>
        <w:t xml:space="preserve">Tax </w:t>
      </w:r>
      <w:r w:rsidR="00127B0C" w:rsidRPr="00406CB1">
        <w:rPr>
          <w:rFonts w:cs="Calibri"/>
          <w:lang w:val="en-GB"/>
        </w:rPr>
        <w:t>invoice</w:t>
      </w:r>
      <w:r w:rsidRPr="00406CB1">
        <w:rPr>
          <w:rFonts w:cs="Calibri"/>
          <w:lang w:val="en-GB"/>
        </w:rPr>
        <w:t xml:space="preserve"> shall include the elements set forth by generally binding regulations including banking institution identification and account No. to pay thereon.  </w:t>
      </w:r>
    </w:p>
    <w:p w:rsidR="003756E9" w:rsidRPr="00406CB1" w:rsidRDefault="003756E9" w:rsidP="003756E9">
      <w:pPr>
        <w:widowControl/>
        <w:overflowPunct/>
        <w:autoSpaceDE/>
        <w:autoSpaceDN/>
        <w:adjustRightInd/>
        <w:spacing w:before="0"/>
        <w:textAlignment w:val="auto"/>
        <w:rPr>
          <w:rFonts w:cs="Calibri"/>
          <w:lang w:val="en-GB"/>
        </w:rPr>
      </w:pPr>
    </w:p>
    <w:p w:rsidR="003756E9" w:rsidRPr="00406CB1" w:rsidRDefault="003756E9" w:rsidP="003756E9">
      <w:pPr>
        <w:widowControl/>
        <w:numPr>
          <w:ilvl w:val="0"/>
          <w:numId w:val="45"/>
        </w:numPr>
        <w:overflowPunct/>
        <w:autoSpaceDE/>
        <w:autoSpaceDN/>
        <w:adjustRightInd/>
        <w:spacing w:before="0"/>
        <w:jc w:val="left"/>
        <w:textAlignment w:val="auto"/>
        <w:rPr>
          <w:rFonts w:cs="Calibri"/>
          <w:lang w:val="en-GB"/>
        </w:rPr>
      </w:pPr>
      <w:r w:rsidRPr="00406CB1">
        <w:rPr>
          <w:rFonts w:cs="Calibri"/>
          <w:lang w:val="en-GB"/>
        </w:rPr>
        <w:t xml:space="preserve">Should there be default in payment of monetary obligations that the Contract implies, then the respective Party shall be liable to pay second Party a delay charge at the level under valid generally binding legal regulations, and unless these regulations do not specify the amount of such punitive interest, or have ceased to specify it, or such late charge is unable to determine, then at the level of 0,05% of unpaid amount per day in default or started day in default. </w:t>
      </w:r>
    </w:p>
    <w:p w:rsidR="003756E9" w:rsidRPr="00406CB1" w:rsidRDefault="003756E9" w:rsidP="003756E9">
      <w:pPr>
        <w:widowControl/>
        <w:overflowPunct/>
        <w:autoSpaceDE/>
        <w:autoSpaceDN/>
        <w:adjustRightInd/>
        <w:spacing w:before="0"/>
        <w:textAlignment w:val="auto"/>
        <w:rPr>
          <w:rFonts w:cs="Calibri"/>
          <w:lang w:val="en-GB"/>
        </w:rPr>
      </w:pPr>
    </w:p>
    <w:p w:rsidR="003756E9" w:rsidRPr="00406CB1" w:rsidRDefault="003756E9" w:rsidP="003756E9">
      <w:pPr>
        <w:widowControl/>
        <w:numPr>
          <w:ilvl w:val="0"/>
          <w:numId w:val="45"/>
        </w:numPr>
        <w:overflowPunct/>
        <w:autoSpaceDE/>
        <w:autoSpaceDN/>
        <w:adjustRightInd/>
        <w:spacing w:before="0"/>
        <w:jc w:val="left"/>
        <w:textAlignment w:val="auto"/>
        <w:rPr>
          <w:rFonts w:cs="Calibri"/>
          <w:lang w:val="en-GB"/>
        </w:rPr>
      </w:pPr>
      <w:r w:rsidRPr="00406CB1">
        <w:rPr>
          <w:rFonts w:cs="Calibri"/>
          <w:lang w:val="en-GB"/>
        </w:rPr>
        <w:lastRenderedPageBreak/>
        <w:t>Delay charges are due within 10 calendar days after a day these are accounted for.</w:t>
      </w:r>
    </w:p>
    <w:p w:rsidR="00127B0C" w:rsidRPr="00406CB1" w:rsidRDefault="00127B0C" w:rsidP="003756E9">
      <w:pPr>
        <w:widowControl/>
        <w:overflowPunct/>
        <w:autoSpaceDE/>
        <w:autoSpaceDN/>
        <w:adjustRightInd/>
        <w:spacing w:before="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VI.</w:t>
      </w:r>
      <w:r w:rsidRPr="00406CB1">
        <w:rPr>
          <w:rFonts w:cs="Calibri"/>
          <w:b/>
          <w:bCs/>
          <w:lang w:val="en-GB"/>
        </w:rPr>
        <w:tab/>
        <w:t>Duration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The Contract is made and takes effect as from 1</w:t>
      </w:r>
      <w:r w:rsidRPr="00406CB1">
        <w:rPr>
          <w:rFonts w:cs="Calibri"/>
          <w:vertAlign w:val="superscript"/>
          <w:lang w:val="en-GB"/>
        </w:rPr>
        <w:t>st</w:t>
      </w:r>
      <w:r w:rsidR="00AB430C" w:rsidRPr="00406CB1">
        <w:rPr>
          <w:rFonts w:cs="Calibri"/>
          <w:lang w:val="en-GB"/>
        </w:rPr>
        <w:t xml:space="preserve"> April, 201</w:t>
      </w:r>
      <w:r w:rsidR="00127B0C" w:rsidRPr="00406CB1">
        <w:rPr>
          <w:rFonts w:cs="Calibri"/>
          <w:lang w:val="en-GB"/>
        </w:rPr>
        <w:t>7</w:t>
      </w:r>
      <w:r w:rsidRPr="00406CB1">
        <w:rPr>
          <w:rFonts w:cs="Calibri"/>
          <w:lang w:val="en-GB"/>
        </w:rPr>
        <w:t xml:space="preserve">, at </w:t>
      </w:r>
      <w:smartTag w:uri="urn:schemas-microsoft-com:office:smarttags" w:element="metricconverter">
        <w:smartTagPr>
          <w:attr w:name="ProductID" w:val="06.00 a"/>
        </w:smartTagPr>
        <w:r w:rsidRPr="00406CB1">
          <w:rPr>
            <w:rFonts w:cs="Calibri"/>
            <w:lang w:val="en-GB"/>
          </w:rPr>
          <w:t>06.00 a</w:t>
        </w:r>
      </w:smartTag>
      <w:r w:rsidRPr="00406CB1">
        <w:rPr>
          <w:rFonts w:cs="Calibri"/>
          <w:lang w:val="en-GB"/>
        </w:rPr>
        <w:t>.m., and terminates on 1</w:t>
      </w:r>
      <w:r w:rsidRPr="00406CB1">
        <w:rPr>
          <w:rFonts w:cs="Calibri"/>
          <w:vertAlign w:val="superscript"/>
          <w:lang w:val="en-GB"/>
        </w:rPr>
        <w:t>st</w:t>
      </w:r>
      <w:r w:rsidR="00AB430C" w:rsidRPr="00406CB1">
        <w:rPr>
          <w:rFonts w:cs="Calibri"/>
          <w:lang w:val="en-GB"/>
        </w:rPr>
        <w:t xml:space="preserve"> April, 201</w:t>
      </w:r>
      <w:r w:rsidR="00127B0C" w:rsidRPr="00406CB1">
        <w:rPr>
          <w:rFonts w:cs="Calibri"/>
          <w:lang w:val="en-GB"/>
        </w:rPr>
        <w:t>8</w:t>
      </w:r>
      <w:r w:rsidRPr="00406CB1">
        <w:rPr>
          <w:rFonts w:cs="Calibri"/>
          <w:lang w:val="en-GB"/>
        </w:rPr>
        <w:t xml:space="preserve">, at </w:t>
      </w:r>
      <w:smartTag w:uri="urn:schemas-microsoft-com:office:smarttags" w:element="metricconverter">
        <w:smartTagPr>
          <w:attr w:name="ProductID" w:val="06.00 a"/>
        </w:smartTagPr>
        <w:r w:rsidRPr="00406CB1">
          <w:rPr>
            <w:rFonts w:cs="Calibri"/>
            <w:lang w:val="en-GB"/>
          </w:rPr>
          <w:t>06.00 a</w:t>
        </w:r>
      </w:smartTag>
      <w:r w:rsidRPr="00406CB1">
        <w:rPr>
          <w:rFonts w:cs="Calibri"/>
          <w:lang w:val="en-GB"/>
        </w:rPr>
        <w:t xml:space="preserve">.m., and becomes valid on the day it is signed by both Contractual Parties.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Storage User undertakes to use storage services in such a way that as of the last day of Contract effectiveness he/she will have no gas stored (identified on Storage User’s account in kWh) with the Storage Operator based on this Contract.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VII.</w:t>
      </w:r>
      <w:r w:rsidRPr="00406CB1">
        <w:rPr>
          <w:rFonts w:cs="Calibri"/>
          <w:b/>
          <w:bCs/>
          <w:lang w:val="en-GB"/>
        </w:rPr>
        <w:tab/>
        <w:t>Special Provisions</w:t>
      </w:r>
    </w:p>
    <w:p w:rsidR="00127B0C" w:rsidRPr="00406CB1" w:rsidRDefault="00127B0C" w:rsidP="00127B0C">
      <w:pPr>
        <w:widowControl/>
        <w:overflowPunct/>
        <w:autoSpaceDE/>
        <w:autoSpaceDN/>
        <w:adjustRightInd/>
        <w:spacing w:before="0"/>
        <w:textAlignment w:val="auto"/>
        <w:rPr>
          <w:rFonts w:cs="Calibri"/>
          <w:lang w:val="en-GB"/>
        </w:rPr>
      </w:pPr>
    </w:p>
    <w:p w:rsidR="00127B0C" w:rsidRPr="00406CB1" w:rsidRDefault="00127B0C" w:rsidP="00127B0C">
      <w:pPr>
        <w:widowControl/>
        <w:numPr>
          <w:ilvl w:val="0"/>
          <w:numId w:val="50"/>
        </w:numPr>
        <w:overflowPunct/>
        <w:autoSpaceDE/>
        <w:autoSpaceDN/>
        <w:adjustRightInd/>
        <w:spacing w:before="0"/>
        <w:textAlignment w:val="auto"/>
        <w:rPr>
          <w:rFonts w:cs="Calibri"/>
          <w:lang w:val="en-GB"/>
        </w:rPr>
      </w:pPr>
      <w:r w:rsidRPr="00406CB1">
        <w:rPr>
          <w:rFonts w:cs="Calibri"/>
          <w:lang w:val="en-GB"/>
        </w:rPr>
        <w:t xml:space="preserve">The Storage User duly notes that in line with the Czech energy legislation, the Storage Operator provides the Storage Services based on the concept of the virtual storage and thus the gas stored by the Storage User will be mixed </w:t>
      </w:r>
      <w:r w:rsidR="00E143C2" w:rsidRPr="00406CB1">
        <w:rPr>
          <w:rFonts w:cs="Calibri"/>
          <w:lang w:val="en-GB"/>
        </w:rPr>
        <w:t>with the gas of third parties which are or will be in the similar contractual undertaking with the Storage Operator as is the Storage User. The Storage User approves of such mode of Storage Services rendering. For the avoidance of doubt, the Contractual Parties exclude the application (even as an analogy) of Section 2420 of Act No. 89/2012, the Civil Code (hereinafter as “Civil Code” only).</w:t>
      </w:r>
    </w:p>
    <w:p w:rsidR="00127B0C" w:rsidRPr="00406CB1" w:rsidRDefault="00127B0C"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003756E9" w:rsidRPr="00406CB1">
        <w:rPr>
          <w:rFonts w:cs="Calibri"/>
          <w:lang w:val="en-GB"/>
        </w:rPr>
        <w:t>.</w:t>
      </w:r>
      <w:r w:rsidR="003756E9" w:rsidRPr="00406CB1">
        <w:rPr>
          <w:rFonts w:cs="Calibri"/>
          <w:lang w:val="en-GB"/>
        </w:rPr>
        <w:tab/>
        <w:t>By this Contract the Storage User grants the Storage Operator an irrevocable and irreversible right to procure the sale of unrecovered gas that had been injected into Storage Operator’s gas storage compliant to this Contract, and</w:t>
      </w:r>
      <w:r w:rsidR="000C25F0" w:rsidRPr="00406CB1">
        <w:rPr>
          <w:rFonts w:cs="Calibri"/>
          <w:lang w:val="en-GB"/>
        </w:rPr>
        <w:t xml:space="preserve"> is present i</w:t>
      </w:r>
      <w:r w:rsidR="003756E9" w:rsidRPr="00406CB1">
        <w:rPr>
          <w:rFonts w:cs="Calibri"/>
          <w:lang w:val="en-GB"/>
        </w:rPr>
        <w:t xml:space="preserve">n such storage at the time such right of the Storage Operator is applied. Parties to the Contract state explicitly that such right to procure the sale, will last even after this Contract’s validity or effectiveness expire.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3</w:t>
      </w:r>
      <w:r w:rsidR="003756E9" w:rsidRPr="00406CB1">
        <w:rPr>
          <w:rFonts w:cs="Calibri"/>
          <w:lang w:val="en-GB"/>
        </w:rPr>
        <w:t>.</w:t>
      </w:r>
      <w:r w:rsidR="003756E9" w:rsidRPr="00406CB1">
        <w:rPr>
          <w:rFonts w:cs="Calibri"/>
          <w:lang w:val="en-GB"/>
        </w:rPr>
        <w:tab/>
        <w:t xml:space="preserve">Storage Operator has the right to carry out gas sale on behalf of his/her name on account of Storage User along with the fact that the Storage Operator has at the same time the right to set off his/her claims that result from this Contract against Storage User’s claim, for paying the price for the unrecovered gas sold.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4</w:t>
      </w:r>
      <w:r w:rsidR="003756E9" w:rsidRPr="00406CB1">
        <w:rPr>
          <w:rFonts w:cs="Calibri"/>
          <w:lang w:val="en-GB"/>
        </w:rPr>
        <w:t>.</w:t>
      </w:r>
      <w:r w:rsidR="003756E9" w:rsidRPr="00406CB1">
        <w:rPr>
          <w:rFonts w:cs="Calibri"/>
          <w:lang w:val="en-GB"/>
        </w:rPr>
        <w:tab/>
        <w:t>Storage Operator has the right to sell gas only under the conditions laid down in the Contract, in the Rules, or generally binding legal regulations.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540" w:hanging="540"/>
        <w:jc w:val="center"/>
        <w:textAlignment w:val="auto"/>
        <w:rPr>
          <w:rFonts w:cs="Calibri"/>
          <w:b/>
          <w:bCs/>
          <w:lang w:val="en-GB"/>
        </w:rPr>
      </w:pPr>
      <w:r w:rsidRPr="00406CB1">
        <w:rPr>
          <w:rFonts w:cs="Calibri"/>
          <w:b/>
          <w:bCs/>
          <w:lang w:val="en-GB"/>
        </w:rPr>
        <w:t>VIII.</w:t>
      </w:r>
      <w:r w:rsidRPr="00406CB1">
        <w:rPr>
          <w:rFonts w:cs="Calibri"/>
          <w:b/>
          <w:bCs/>
          <w:lang w:val="en-GB"/>
        </w:rPr>
        <w:tab/>
        <w:t>Final Provisions</w:t>
      </w:r>
    </w:p>
    <w:p w:rsidR="003756E9" w:rsidRPr="00406CB1" w:rsidRDefault="003756E9" w:rsidP="003756E9">
      <w:pPr>
        <w:widowControl/>
        <w:overflowPunct/>
        <w:autoSpaceDE/>
        <w:autoSpaceDN/>
        <w:adjustRightInd/>
        <w:spacing w:before="0"/>
        <w:ind w:left="540" w:hanging="540"/>
        <w:textAlignment w:val="auto"/>
        <w:rPr>
          <w:rFonts w:cs="Calibri"/>
          <w:lang w:val="en-GB"/>
        </w:rPr>
      </w:pPr>
      <w:r w:rsidRPr="00406CB1">
        <w:rPr>
          <w:rFonts w:cs="Calibri"/>
          <w:lang w:val="en-GB"/>
        </w:rPr>
        <w:t xml:space="preserve"> </w:t>
      </w: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Legal relations between the Parties established by this Contract and not specially regulated therein, shall be governed relevant provisions of the</w:t>
      </w:r>
      <w:r w:rsidR="00EB7C1D" w:rsidRPr="00406CB1">
        <w:rPr>
          <w:rFonts w:cs="Calibri"/>
          <w:lang w:val="en-GB"/>
        </w:rPr>
        <w:t xml:space="preserve"> Energy Act and </w:t>
      </w:r>
      <w:r w:rsidRPr="00406CB1">
        <w:rPr>
          <w:rFonts w:cs="Calibri"/>
          <w:lang w:val="en-GB"/>
        </w:rPr>
        <w:t xml:space="preserve">Act No. </w:t>
      </w:r>
      <w:r w:rsidR="002D5F13" w:rsidRPr="00406CB1">
        <w:rPr>
          <w:rFonts w:cs="Calibri"/>
          <w:lang w:val="en-GB"/>
        </w:rPr>
        <w:t>89/2012</w:t>
      </w:r>
      <w:r w:rsidRPr="00406CB1">
        <w:rPr>
          <w:rFonts w:cs="Calibri"/>
          <w:lang w:val="en-GB"/>
        </w:rPr>
        <w:t xml:space="preserve"> Coll., </w:t>
      </w:r>
      <w:r w:rsidR="002D5F13" w:rsidRPr="00406CB1">
        <w:rPr>
          <w:rFonts w:cs="Calibri"/>
          <w:lang w:val="en-GB"/>
        </w:rPr>
        <w:t xml:space="preserve">Civil </w:t>
      </w:r>
      <w:r w:rsidRPr="00406CB1">
        <w:rPr>
          <w:rFonts w:cs="Calibri"/>
          <w:lang w:val="en-GB"/>
        </w:rPr>
        <w:t>Code</w:t>
      </w:r>
      <w:r w:rsidR="00EB7C1D" w:rsidRPr="00406CB1">
        <w:rPr>
          <w:rFonts w:cs="Calibri"/>
          <w:lang w:val="en-GB"/>
        </w:rPr>
        <w:t xml:space="preserve"> (hereinafter as “Civil Code”)</w:t>
      </w:r>
      <w:r w:rsidRPr="00406CB1">
        <w:rPr>
          <w:rFonts w:cs="Calibri"/>
          <w:lang w:val="en-GB"/>
        </w:rPr>
        <w:t>.</w:t>
      </w:r>
      <w:r w:rsidR="00EB7C1D" w:rsidRPr="00406CB1">
        <w:rPr>
          <w:rFonts w:cs="Calibri"/>
          <w:lang w:val="en-GB"/>
        </w:rPr>
        <w:t xml:space="preserve"> Any and all dispute arising out of or in relation to this Contract shall be decided by the Czech courts, competent with regards to the seat of the Storage Operator.</w:t>
      </w:r>
    </w:p>
    <w:p w:rsidR="002D5F13" w:rsidRPr="00406CB1" w:rsidRDefault="002D5F13" w:rsidP="003756E9">
      <w:pPr>
        <w:widowControl/>
        <w:overflowPunct/>
        <w:autoSpaceDE/>
        <w:autoSpaceDN/>
        <w:adjustRightInd/>
        <w:spacing w:before="0"/>
        <w:ind w:left="360" w:hanging="360"/>
        <w:textAlignment w:val="auto"/>
        <w:rPr>
          <w:rFonts w:cs="Calibri"/>
          <w:lang w:val="en-GB"/>
        </w:rPr>
      </w:pPr>
    </w:p>
    <w:p w:rsidR="002D5F13" w:rsidRPr="00406CB1" w:rsidRDefault="002D5F13"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 xml:space="preserve">The Parties hereby mutually declare they enter into this Contract as entrepreneurs, and they are not aware of any facts that may lead to a presumption that one of the parties could be deemed as a weaker contracting party. </w:t>
      </w:r>
      <w:r w:rsidR="00EC6816" w:rsidRPr="00406CB1">
        <w:rPr>
          <w:rFonts w:cs="Calibri"/>
          <w:lang w:val="en-GB"/>
        </w:rPr>
        <w:t xml:space="preserve">Under </w:t>
      </w:r>
      <w:r w:rsidRPr="00406CB1">
        <w:rPr>
          <w:rFonts w:cs="Calibri"/>
          <w:lang w:val="en-GB"/>
        </w:rPr>
        <w:t>Section 1801 of the Civil Code, the Parties further mutually stipulate they consider the content of this contract not to be contradicting to usages in the gas industry.</w:t>
      </w:r>
    </w:p>
    <w:p w:rsidR="002D5F13" w:rsidRPr="00406CB1" w:rsidRDefault="002D5F13" w:rsidP="003756E9">
      <w:pPr>
        <w:widowControl/>
        <w:overflowPunct/>
        <w:autoSpaceDE/>
        <w:autoSpaceDN/>
        <w:adjustRightInd/>
        <w:spacing w:before="0"/>
        <w:ind w:left="360" w:hanging="360"/>
        <w:textAlignment w:val="auto"/>
        <w:rPr>
          <w:rFonts w:cs="Calibri"/>
          <w:lang w:val="en-GB"/>
        </w:rPr>
      </w:pPr>
    </w:p>
    <w:p w:rsidR="00EC6816" w:rsidRPr="00406CB1" w:rsidRDefault="002D5F13"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3. </w:t>
      </w:r>
      <w:r w:rsidR="00EC6816" w:rsidRPr="00406CB1">
        <w:rPr>
          <w:rFonts w:cs="Calibri"/>
          <w:lang w:val="en-GB"/>
        </w:rPr>
        <w:tab/>
      </w:r>
      <w:r w:rsidRPr="00406CB1">
        <w:rPr>
          <w:rFonts w:cs="Calibri"/>
          <w:lang w:val="en-GB"/>
        </w:rPr>
        <w:t xml:space="preserve">Parties acknowledge the Rules shall not be considered as </w:t>
      </w:r>
      <w:r w:rsidR="00EC6816" w:rsidRPr="00406CB1">
        <w:rPr>
          <w:rFonts w:cs="Calibri"/>
          <w:lang w:val="en-GB"/>
        </w:rPr>
        <w:t xml:space="preserve">standard business terms of the Storage Operator in the meaning of the Section 1751 et seq. of the Civil Code, as the Rules are subject to approval or prescription by the Energy Regulatory Office under Section 97a of the </w:t>
      </w:r>
      <w:r w:rsidR="000B0769" w:rsidRPr="00406CB1">
        <w:rPr>
          <w:rFonts w:cs="Calibri"/>
          <w:lang w:val="en-GB"/>
        </w:rPr>
        <w:t>Energy</w:t>
      </w:r>
      <w:r w:rsidR="00EC6816" w:rsidRPr="00406CB1">
        <w:rPr>
          <w:rFonts w:cs="Calibri"/>
          <w:lang w:val="en-GB"/>
        </w:rPr>
        <w:t xml:space="preserve"> Act.</w:t>
      </w:r>
    </w:p>
    <w:p w:rsidR="00EC6816" w:rsidRPr="00406CB1" w:rsidRDefault="00EC6816" w:rsidP="003756E9">
      <w:pPr>
        <w:widowControl/>
        <w:overflowPunct/>
        <w:autoSpaceDE/>
        <w:autoSpaceDN/>
        <w:adjustRightInd/>
        <w:spacing w:before="0"/>
        <w:ind w:left="360" w:hanging="360"/>
        <w:textAlignment w:val="auto"/>
        <w:rPr>
          <w:rFonts w:cs="Calibri"/>
          <w:lang w:val="en-GB"/>
        </w:rPr>
      </w:pPr>
    </w:p>
    <w:p w:rsidR="002D5F13" w:rsidRPr="00406CB1" w:rsidRDefault="00EC6816" w:rsidP="003756E9">
      <w:pPr>
        <w:widowControl/>
        <w:overflowPunct/>
        <w:autoSpaceDE/>
        <w:autoSpaceDN/>
        <w:adjustRightInd/>
        <w:spacing w:before="0"/>
        <w:ind w:left="360" w:hanging="360"/>
        <w:textAlignment w:val="auto"/>
        <w:rPr>
          <w:rFonts w:cs="Calibri"/>
          <w:lang w:val="en-GB"/>
        </w:rPr>
      </w:pPr>
      <w:r w:rsidRPr="00406CB1">
        <w:rPr>
          <w:rFonts w:cs="Calibri"/>
          <w:lang w:val="en-GB"/>
        </w:rPr>
        <w:lastRenderedPageBreak/>
        <w:t>4.</w:t>
      </w:r>
      <w:r w:rsidRPr="00406CB1">
        <w:rPr>
          <w:rFonts w:cs="Calibri"/>
          <w:lang w:val="en-GB"/>
        </w:rPr>
        <w:tab/>
        <w:t>Regarding the regulated nature of the business activity of the Storage Operator and that the allocation of the storage capacity is governed by the Regulation</w:t>
      </w:r>
      <w:r w:rsidR="000C25F0" w:rsidRPr="00406CB1">
        <w:rPr>
          <w:rFonts w:cs="Calibri"/>
          <w:lang w:val="en-GB"/>
        </w:rPr>
        <w:t xml:space="preserve"> No. 365/2000 Coll., on the Rules of the gas market, as amended, the parties mutually declare Sections 1765 and 1766 of the Civil Code shall not be applicable to this Contract. Storage User undertakes to bear the risk of change in circumstances under Section 1765, para. 2 of the Civil Code.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5</w:t>
      </w:r>
      <w:r w:rsidR="003756E9" w:rsidRPr="00406CB1">
        <w:rPr>
          <w:rFonts w:cs="Calibri"/>
          <w:lang w:val="en-GB"/>
        </w:rPr>
        <w:t>.</w:t>
      </w:r>
      <w:r w:rsidR="003756E9" w:rsidRPr="00406CB1">
        <w:rPr>
          <w:rFonts w:cs="Calibri"/>
          <w:lang w:val="en-GB"/>
        </w:rPr>
        <w:tab/>
        <w:t>Parties undertake mutually to protect and keep in secret against third persons any confidential information.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 xml:space="preserve">None of the Party shall provide information without written consent from second Party, about the content of this Contract or other confidential information, and this neither in partial scope to a third party, with the exception of persons that govern, and persons governed by the identical governing person. In like manner the Parties shall protect confidential information or facts that form commercial secret of third person, that have been provided by such third party to some of the Contractual Parties by the courtesy thereof. The obligation to protect confidentiality shall last throughout the duration of the facts that form commercial secret, or duration of the interest to protect confidential information.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6</w:t>
      </w:r>
      <w:r w:rsidR="003756E9" w:rsidRPr="00406CB1">
        <w:rPr>
          <w:rFonts w:cs="Calibri"/>
          <w:lang w:val="en-GB"/>
        </w:rPr>
        <w:t>.</w:t>
      </w:r>
      <w:r w:rsidR="003756E9" w:rsidRPr="00406CB1">
        <w:rPr>
          <w:rFonts w:cs="Calibri"/>
          <w:lang w:val="en-GB"/>
        </w:rPr>
        <w:tab/>
        <w:t>This Contract can be altered or supplemented only in the form of written sub-contracts signed by both Parties’ representatives in charge along with the fact that the way of changing or supplementing the Rules has been specified hereinafter in Clause II of the Contract, and in the Rules.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7</w:t>
      </w:r>
      <w:r w:rsidR="003756E9" w:rsidRPr="00406CB1">
        <w:rPr>
          <w:rFonts w:cs="Calibri"/>
          <w:lang w:val="en-GB"/>
        </w:rPr>
        <w:t>.</w:t>
      </w:r>
      <w:r w:rsidR="003756E9" w:rsidRPr="00406CB1">
        <w:rPr>
          <w:rFonts w:cs="Calibri"/>
          <w:lang w:val="en-GB"/>
        </w:rPr>
        <w:tab/>
        <w:t xml:space="preserve">Storage User who is also the client (§62, </w:t>
      </w:r>
      <w:r w:rsidR="000B0769" w:rsidRPr="00406CB1">
        <w:rPr>
          <w:rFonts w:cs="Calibri"/>
          <w:lang w:val="en-GB"/>
        </w:rPr>
        <w:t>Energy</w:t>
      </w:r>
      <w:r w:rsidR="003756E9" w:rsidRPr="00406CB1">
        <w:rPr>
          <w:rFonts w:cs="Calibri"/>
          <w:lang w:val="en-GB"/>
        </w:rPr>
        <w:t xml:space="preserve"> Act) has the right to rescind this Contract in case of not meeting contractual duties on the side of Storage Operator, or in case of not agreeing with the Storage Operator-proposed change of the terms and conditions which are not incited by the change of generally binding legal regulations, or by the ruling of relevant state administration body. </w:t>
      </w:r>
      <w:r w:rsidR="00E143C2" w:rsidRPr="00406CB1">
        <w:rPr>
          <w:rFonts w:cs="Calibri"/>
          <w:lang w:val="en-GB"/>
        </w:rPr>
        <w:t>The Storage Operator shall announce the proposal to alter contractual terms and conditions in writing to the Storage User at the latest 30 days before the effective day. I</w:t>
      </w:r>
      <w:r w:rsidR="003756E9" w:rsidRPr="00406CB1">
        <w:rPr>
          <w:rFonts w:cs="Calibri"/>
          <w:lang w:val="en-GB"/>
        </w:rPr>
        <w:t xml:space="preserve">n the event the Contract is rescinded due to a disapproval of the Storage Operator-proposed alteration of the terms and conditions, this right to rescind will terminate unless respective Storage User has not rescinded the Contract within 90 days after the day he/she learned of draft change to the terms and conditions or could have learned thereof.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8</w:t>
      </w:r>
      <w:r w:rsidR="003756E9" w:rsidRPr="00406CB1">
        <w:rPr>
          <w:rFonts w:cs="Calibri"/>
          <w:lang w:val="en-GB"/>
        </w:rPr>
        <w:t>.</w:t>
      </w:r>
      <w:r w:rsidR="003756E9" w:rsidRPr="00406CB1">
        <w:rPr>
          <w:rFonts w:cs="Calibri"/>
          <w:lang w:val="en-GB"/>
        </w:rPr>
        <w:tab/>
        <w:t xml:space="preserve">This Contract has been made in two copies, each having the force of original copy, by one for each Contractual Party.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9</w:t>
      </w:r>
      <w:r w:rsidR="003756E9" w:rsidRPr="00406CB1">
        <w:rPr>
          <w:rFonts w:cs="Calibri"/>
          <w:lang w:val="en-GB"/>
        </w:rPr>
        <w:t>.</w:t>
      </w:r>
      <w:r w:rsidR="003756E9" w:rsidRPr="00406CB1">
        <w:rPr>
          <w:rFonts w:cs="Calibri"/>
          <w:lang w:val="en-GB"/>
        </w:rPr>
        <w:tab/>
        <w:t>Assignment of rights and obligations arising from this Contract to a third party including their putting as a security either totally or partially, is possible only with prior written consent of the other Party.</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10</w:t>
      </w:r>
      <w:r w:rsidR="003756E9" w:rsidRPr="00406CB1">
        <w:rPr>
          <w:rFonts w:cs="Calibri"/>
          <w:lang w:val="en-GB"/>
        </w:rPr>
        <w:t>.</w:t>
      </w:r>
      <w:r w:rsidR="003756E9" w:rsidRPr="00406CB1">
        <w:rPr>
          <w:rFonts w:cs="Calibri"/>
          <w:lang w:val="en-GB"/>
        </w:rPr>
        <w:tab/>
        <w:t>Parties to this Contract, following its reading, agree with its contents and are not aware of any obstacles, claims of third parties, or of any other legal defects that would prevent them from signing it or cause invalidity or nullity thereof, and declare they signed this Contract as free act and deed in witness whereof they sign their hand.</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b/>
          <w:bCs/>
          <w:lang w:val="en-GB"/>
        </w:rPr>
      </w:pPr>
      <w:r w:rsidRPr="00406CB1">
        <w:rPr>
          <w:rFonts w:cs="Calibri"/>
          <w:b/>
          <w:bCs/>
          <w:lang w:val="en-GB"/>
        </w:rPr>
        <w:t>Annexes:</w:t>
      </w:r>
    </w:p>
    <w:p w:rsidR="003756E9" w:rsidRPr="00406CB1" w:rsidRDefault="003756E9" w:rsidP="000108FD">
      <w:pPr>
        <w:widowControl/>
        <w:overflowPunct/>
        <w:autoSpaceDE/>
        <w:autoSpaceDN/>
        <w:adjustRightInd/>
        <w:spacing w:before="0"/>
        <w:ind w:left="360" w:hanging="360"/>
        <w:textAlignment w:val="auto"/>
        <w:rPr>
          <w:rFonts w:cs="Calibri"/>
          <w:lang w:val="en-GB"/>
        </w:rPr>
      </w:pPr>
      <w:r w:rsidRPr="00406CB1">
        <w:rPr>
          <w:rFonts w:cs="Calibri"/>
          <w:lang w:val="en-GB"/>
        </w:rPr>
        <w:t xml:space="preserve">Annex No. 1: </w:t>
      </w:r>
      <w:r w:rsidR="000108FD" w:rsidRPr="00406CB1">
        <w:rPr>
          <w:rFonts w:cs="Calibri"/>
          <w:lang w:val="en-GB"/>
        </w:rPr>
        <w:t xml:space="preserve">Withdrawal </w:t>
      </w:r>
      <w:r w:rsidRPr="00406CB1">
        <w:rPr>
          <w:rFonts w:cs="Calibri"/>
          <w:lang w:val="en-GB"/>
        </w:rPr>
        <w:t xml:space="preserve">curve &amp; </w:t>
      </w:r>
      <w:r w:rsidR="000108FD" w:rsidRPr="00406CB1">
        <w:rPr>
          <w:rFonts w:cs="Calibri"/>
          <w:lang w:val="en-GB"/>
        </w:rPr>
        <w:t xml:space="preserve">injection </w:t>
      </w:r>
      <w:r w:rsidRPr="00406CB1">
        <w:rPr>
          <w:rFonts w:cs="Calibri"/>
          <w:lang w:val="en-GB"/>
        </w:rPr>
        <w:t>curve</w:t>
      </w:r>
      <w:r w:rsidRPr="00406CB1">
        <w:rPr>
          <w:rFonts w:cs="Calibri"/>
          <w:lang w:val="en-GB"/>
        </w:rPr>
        <w:tab/>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In ………………………., date ……………………….  </w:t>
      </w:r>
      <w:r w:rsidRPr="00406CB1">
        <w:rPr>
          <w:rFonts w:cs="Calibri"/>
          <w:lang w:val="en-GB"/>
        </w:rPr>
        <w:tab/>
        <w:t>In ……………………., date……………………..</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On behalf of Storage Operator:</w:t>
      </w:r>
      <w:r w:rsidRPr="00406CB1">
        <w:rPr>
          <w:rFonts w:cs="Calibri"/>
          <w:lang w:val="en-GB"/>
        </w:rPr>
        <w:tab/>
      </w:r>
      <w:r w:rsidRPr="00406CB1">
        <w:rPr>
          <w:rFonts w:cs="Calibri"/>
          <w:lang w:val="en-GB"/>
        </w:rPr>
        <w:tab/>
      </w:r>
      <w:r w:rsidRPr="00406CB1">
        <w:rPr>
          <w:rFonts w:cs="Calibri"/>
          <w:lang w:val="en-GB"/>
        </w:rPr>
        <w:tab/>
      </w:r>
      <w:r w:rsidRPr="00406CB1">
        <w:rPr>
          <w:rFonts w:cs="Calibri"/>
          <w:lang w:val="en-GB"/>
        </w:rPr>
        <w:tab/>
      </w:r>
      <w:r w:rsidRPr="00406CB1">
        <w:rPr>
          <w:rFonts w:cs="Calibri"/>
          <w:lang w:val="en-GB"/>
        </w:rPr>
        <w:tab/>
        <w:t>On behalf of Storage User:</w:t>
      </w:r>
    </w:p>
    <w:p w:rsidR="000108FD" w:rsidRPr="000108FD" w:rsidRDefault="003756E9" w:rsidP="000108FD">
      <w:pPr>
        <w:widowControl/>
        <w:overflowPunct/>
        <w:autoSpaceDE/>
        <w:autoSpaceDN/>
        <w:adjustRightInd/>
        <w:jc w:val="left"/>
        <w:textAlignment w:val="auto"/>
        <w:rPr>
          <w:b/>
          <w:color w:val="627D0E"/>
        </w:rPr>
      </w:pPr>
      <w:r w:rsidRPr="00406CB1">
        <w:rPr>
          <w:rFonts w:cs="Calibri"/>
          <w:lang w:val="en-GB"/>
        </w:rPr>
        <w:br w:type="page"/>
      </w:r>
      <w:r w:rsidR="000108FD">
        <w:rPr>
          <w:b/>
          <w:color w:val="627D0E"/>
        </w:rPr>
        <w:lastRenderedPageBreak/>
        <w:t>Annex No. 1</w:t>
      </w:r>
    </w:p>
    <w:p w:rsidR="000108FD" w:rsidRPr="00406CB1" w:rsidRDefault="000108FD" w:rsidP="003756E9">
      <w:pPr>
        <w:widowControl/>
        <w:overflowPunct/>
        <w:autoSpaceDE/>
        <w:autoSpaceDN/>
        <w:adjustRightInd/>
        <w:spacing w:before="0"/>
        <w:textAlignment w:val="auto"/>
        <w:rPr>
          <w:rFonts w:cs="Calibri"/>
          <w:lang w:val="en-GB"/>
        </w:rPr>
      </w:pPr>
    </w:p>
    <w:p w:rsidR="000108FD" w:rsidRDefault="00A053EE" w:rsidP="003756E9">
      <w:pPr>
        <w:widowControl/>
        <w:overflowPunct/>
        <w:autoSpaceDE/>
        <w:autoSpaceDN/>
        <w:adjustRightInd/>
        <w:spacing w:before="0"/>
        <w:textAlignment w:val="auto"/>
        <w:rPr>
          <w:noProof/>
          <w:lang w:val="sk-SK" w:eastAsia="sk-SK"/>
        </w:rPr>
      </w:pPr>
      <w:r w:rsidRPr="00C94B9C">
        <w:rPr>
          <w:noProof/>
        </w:rPr>
        <w:drawing>
          <wp:inline distT="0" distB="0" distL="0" distR="0">
            <wp:extent cx="5579110" cy="3686175"/>
            <wp:effectExtent l="0" t="0" r="0" b="0"/>
            <wp:docPr id="5"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4B9C" w:rsidRDefault="00C94B9C" w:rsidP="003756E9">
      <w:pPr>
        <w:widowControl/>
        <w:overflowPunct/>
        <w:autoSpaceDE/>
        <w:autoSpaceDN/>
        <w:adjustRightInd/>
        <w:spacing w:before="0"/>
        <w:textAlignment w:val="auto"/>
        <w:rPr>
          <w:noProof/>
          <w:lang w:val="sk-SK" w:eastAsia="sk-SK"/>
        </w:rPr>
      </w:pPr>
    </w:p>
    <w:p w:rsidR="00C94B9C" w:rsidRPr="00406CB1" w:rsidRDefault="00A053EE" w:rsidP="003756E9">
      <w:pPr>
        <w:widowControl/>
        <w:overflowPunct/>
        <w:autoSpaceDE/>
        <w:autoSpaceDN/>
        <w:adjustRightInd/>
        <w:spacing w:before="0"/>
        <w:textAlignment w:val="auto"/>
        <w:rPr>
          <w:rFonts w:cs="Calibri"/>
          <w:lang w:val="en-GB"/>
        </w:rPr>
      </w:pPr>
      <w:r w:rsidRPr="00C94B9C">
        <w:rPr>
          <w:noProof/>
        </w:rPr>
        <w:drawing>
          <wp:inline distT="0" distB="0" distL="0" distR="0">
            <wp:extent cx="5579110" cy="3686175"/>
            <wp:effectExtent l="0" t="0" r="0" b="0"/>
            <wp:docPr id="6"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56E9" w:rsidRDefault="003756E9" w:rsidP="003756E9">
      <w:pPr>
        <w:widowControl/>
        <w:overflowPunct/>
        <w:autoSpaceDE/>
        <w:autoSpaceDN/>
        <w:adjustRightInd/>
        <w:spacing w:before="0"/>
        <w:textAlignment w:val="auto"/>
        <w:rPr>
          <w:noProof/>
          <w:lang w:val="sk-SK" w:eastAsia="sk-SK"/>
        </w:rPr>
      </w:pPr>
    </w:p>
    <w:p w:rsidR="000108FD" w:rsidRDefault="000108FD" w:rsidP="003756E9">
      <w:pPr>
        <w:widowControl/>
        <w:overflowPunct/>
        <w:autoSpaceDE/>
        <w:autoSpaceDN/>
        <w:adjustRightInd/>
        <w:spacing w:before="0"/>
        <w:textAlignment w:val="auto"/>
        <w:rPr>
          <w:noProof/>
          <w:lang w:val="sk-SK" w:eastAsia="sk-SK"/>
        </w:rPr>
      </w:pPr>
    </w:p>
    <w:p w:rsidR="000108FD" w:rsidRPr="00406CB1" w:rsidRDefault="000108FD" w:rsidP="003756E9">
      <w:pPr>
        <w:widowControl/>
        <w:overflowPunct/>
        <w:autoSpaceDE/>
        <w:autoSpaceDN/>
        <w:adjustRightInd/>
        <w:spacing w:before="0"/>
        <w:textAlignment w:val="auto"/>
        <w:rPr>
          <w:rFonts w:cs="Calibri"/>
          <w:lang w:val="en-GB"/>
        </w:rPr>
      </w:pPr>
    </w:p>
    <w:p w:rsidR="003756E9" w:rsidRPr="00406CB1" w:rsidRDefault="003756E9" w:rsidP="003756E9">
      <w:pPr>
        <w:widowControl/>
        <w:overflowPunct/>
        <w:autoSpaceDE/>
        <w:autoSpaceDN/>
        <w:adjustRightInd/>
        <w:spacing w:before="0"/>
        <w:textAlignment w:val="auto"/>
        <w:rPr>
          <w:rFonts w:cs="Calibri"/>
          <w:lang w:val="en-GB"/>
        </w:rPr>
      </w:pPr>
    </w:p>
    <w:p w:rsidR="00FC7552" w:rsidRPr="00406CB1" w:rsidRDefault="00FC7552" w:rsidP="003756E9">
      <w:pPr>
        <w:rPr>
          <w:lang w:val="en-GB"/>
        </w:rPr>
      </w:pPr>
    </w:p>
    <w:sectPr w:rsidR="00FC7552" w:rsidRPr="00406CB1" w:rsidSect="007B2AB3">
      <w:footerReference w:type="default" r:id="rId10"/>
      <w:headerReference w:type="first" r:id="rId11"/>
      <w:footerReference w:type="first" r:id="rId12"/>
      <w:pgSz w:w="11906" w:h="16838"/>
      <w:pgMar w:top="1417" w:right="1133" w:bottom="709" w:left="1134" w:header="708"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4B" w:rsidRDefault="00A52F4B" w:rsidP="007B2AB3">
      <w:pPr>
        <w:spacing w:before="0"/>
      </w:pPr>
      <w:r>
        <w:separator/>
      </w:r>
    </w:p>
  </w:endnote>
  <w:endnote w:type="continuationSeparator" w:id="0">
    <w:p w:rsidR="00A52F4B" w:rsidRDefault="00A52F4B" w:rsidP="007B2A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liss 2 Bold">
    <w:panose1 w:val="02000506030000020004"/>
    <w:charset w:val="00"/>
    <w:family w:val="modern"/>
    <w:notTrueType/>
    <w:pitch w:val="variable"/>
    <w:sig w:usb0="A00000AF"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16" w:rsidRDefault="00A053EE" w:rsidP="00635E16">
    <w:pPr>
      <w:pStyle w:val="Zpat"/>
      <w:spacing w:before="0"/>
    </w:pPr>
    <w:r w:rsidRPr="00EB7C1D">
      <w:rPr>
        <w:noProof/>
      </w:rPr>
      <w:drawing>
        <wp:inline distT="0" distB="0" distL="0" distR="0">
          <wp:extent cx="6248400" cy="323850"/>
          <wp:effectExtent l="0" t="0" r="0" b="0"/>
          <wp:docPr id="3"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323850"/>
                  </a:xfrm>
                  <a:prstGeom prst="rect">
                    <a:avLst/>
                  </a:prstGeom>
                  <a:noFill/>
                  <a:ln>
                    <a:noFill/>
                  </a:ln>
                </pic:spPr>
              </pic:pic>
            </a:graphicData>
          </a:graphic>
        </wp:inline>
      </w:drawing>
    </w:r>
  </w:p>
  <w:p w:rsidR="007B2AB3" w:rsidRPr="007B2AB3" w:rsidRDefault="007B2AB3" w:rsidP="007B2AB3">
    <w:pPr>
      <w:widowControl/>
      <w:tabs>
        <w:tab w:val="center" w:pos="4536"/>
        <w:tab w:val="right" w:pos="9072"/>
      </w:tabs>
      <w:overflowPunct/>
      <w:autoSpaceDE/>
      <w:autoSpaceDN/>
      <w:adjustRightInd/>
      <w:spacing w:before="0"/>
      <w:jc w:val="right"/>
      <w:textAlignment w:val="auto"/>
      <w:rPr>
        <w:rFonts w:cs="Calibri"/>
        <w:sz w:val="16"/>
        <w:szCs w:val="20"/>
      </w:rPr>
    </w:pPr>
  </w:p>
  <w:p w:rsidR="007B2AB3" w:rsidRDefault="007B2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B3" w:rsidRPr="007B2AB3" w:rsidRDefault="007B2AB3" w:rsidP="007B2AB3">
    <w:pPr>
      <w:widowControl/>
      <w:tabs>
        <w:tab w:val="center" w:pos="4536"/>
        <w:tab w:val="right" w:pos="9072"/>
      </w:tabs>
      <w:overflowPunct/>
      <w:autoSpaceDE/>
      <w:autoSpaceDN/>
      <w:adjustRightInd/>
      <w:spacing w:before="0"/>
      <w:jc w:val="right"/>
      <w:textAlignment w:val="auto"/>
      <w:rPr>
        <w:rFonts w:cs="Calibri"/>
        <w:sz w:val="16"/>
        <w:szCs w:val="20"/>
      </w:rPr>
    </w:pPr>
  </w:p>
  <w:p w:rsidR="007B2AB3" w:rsidRDefault="00A053EE" w:rsidP="007B2AB3">
    <w:pPr>
      <w:pStyle w:val="Zpat"/>
      <w:spacing w:before="0"/>
    </w:pPr>
    <w:r w:rsidRPr="00EB7C1D">
      <w:rPr>
        <w:noProof/>
      </w:rPr>
      <w:drawing>
        <wp:inline distT="0" distB="0" distL="0" distR="0">
          <wp:extent cx="6248400" cy="323850"/>
          <wp:effectExtent l="0" t="0" r="0" b="0"/>
          <wp:docPr id="2"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4B" w:rsidRDefault="00A52F4B" w:rsidP="007B2AB3">
      <w:pPr>
        <w:spacing w:before="0"/>
      </w:pPr>
      <w:r>
        <w:separator/>
      </w:r>
    </w:p>
  </w:footnote>
  <w:footnote w:type="continuationSeparator" w:id="0">
    <w:p w:rsidR="00A52F4B" w:rsidRDefault="00A52F4B" w:rsidP="007B2A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B3" w:rsidRPr="00EB7C1D" w:rsidRDefault="00A053EE" w:rsidP="00EB7C1D">
    <w:pPr>
      <w:pStyle w:val="Zhlav"/>
    </w:pPr>
    <w:r w:rsidRPr="00EB7C1D">
      <w:rPr>
        <w:noProof/>
      </w:rPr>
      <w:drawing>
        <wp:inline distT="0" distB="0" distL="0" distR="0">
          <wp:extent cx="6159500" cy="431800"/>
          <wp:effectExtent l="0" t="0" r="0" b="0"/>
          <wp:docPr id="1" name="Obrázek 6"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D24"/>
    <w:multiLevelType w:val="multilevel"/>
    <w:tmpl w:val="880CBBD8"/>
    <w:lvl w:ilvl="0">
      <w:start w:val="1"/>
      <w:numFmt w:val="upperRoman"/>
      <w:pStyle w:val="Smlouva01lnek"/>
      <w:suff w:val="space"/>
      <w:lvlText w:val="%1."/>
      <w:lvlJc w:val="left"/>
      <w:pPr>
        <w:ind w:left="0" w:firstLine="0"/>
      </w:pPr>
      <w:rPr>
        <w:rFonts w:hint="default"/>
        <w:b/>
        <w:i w:val="0"/>
      </w:rPr>
    </w:lvl>
    <w:lvl w:ilvl="1">
      <w:start w:val="1"/>
      <w:numFmt w:val="none"/>
      <w:pStyle w:val="Smlouva02nadpislnku"/>
      <w:suff w:val="nothing"/>
      <w:lvlText w:val=""/>
      <w:lvlJc w:val="left"/>
      <w:pPr>
        <w:ind w:left="0" w:firstLine="0"/>
      </w:pPr>
      <w:rPr>
        <w:rFonts w:hint="default"/>
      </w:rPr>
    </w:lvl>
    <w:lvl w:ilvl="2">
      <w:start w:val="1"/>
      <w:numFmt w:val="decimal"/>
      <w:pStyle w:val="Smlouva03odstavec"/>
      <w:lvlText w:val="%3."/>
      <w:lvlJc w:val="left"/>
      <w:pPr>
        <w:tabs>
          <w:tab w:val="num" w:pos="357"/>
        </w:tabs>
        <w:ind w:left="357" w:hanging="357"/>
      </w:pPr>
      <w:rPr>
        <w:rFonts w:hint="default"/>
      </w:rPr>
    </w:lvl>
    <w:lvl w:ilvl="3">
      <w:start w:val="1"/>
      <w:numFmt w:val="lowerLetter"/>
      <w:pStyle w:val="Smlouva04psmeno"/>
      <w:lvlText w:val="%4)"/>
      <w:lvlJc w:val="left"/>
      <w:pPr>
        <w:tabs>
          <w:tab w:val="num" w:pos="789"/>
        </w:tabs>
        <w:ind w:left="789" w:hanging="363"/>
      </w:pPr>
      <w:rPr>
        <w:rFonts w:hint="default"/>
      </w:rPr>
    </w:lvl>
    <w:lvl w:ilvl="4">
      <w:start w:val="1"/>
      <w:numFmt w:val="bullet"/>
      <w:pStyle w:val="Smlouva05odrka"/>
      <w:lvlText w:val="-"/>
      <w:lvlJc w:val="left"/>
      <w:pPr>
        <w:tabs>
          <w:tab w:val="num" w:pos="1077"/>
        </w:tabs>
        <w:ind w:left="1077" w:hanging="357"/>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9290BBC"/>
    <w:multiLevelType w:val="hybridMultilevel"/>
    <w:tmpl w:val="9AC26C62"/>
    <w:lvl w:ilvl="0" w:tplc="78F492E6">
      <w:start w:val="1"/>
      <w:numFmt w:val="decimal"/>
      <w:lvlText w:val="%1)"/>
      <w:lvlJc w:val="left"/>
      <w:pPr>
        <w:ind w:left="1080" w:hanging="360"/>
      </w:pPr>
      <w:rPr>
        <w:rFonts w:ascii="Times New Roman" w:hAnsi="Times New Roman" w:cs="Times New Roman"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886E39"/>
    <w:multiLevelType w:val="hybridMultilevel"/>
    <w:tmpl w:val="C8503422"/>
    <w:lvl w:ilvl="0" w:tplc="0405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1D54B6F"/>
    <w:multiLevelType w:val="hybridMultilevel"/>
    <w:tmpl w:val="921843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B646A"/>
    <w:multiLevelType w:val="hybridMultilevel"/>
    <w:tmpl w:val="2F60E116"/>
    <w:lvl w:ilvl="0" w:tplc="66E82C20">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16A32383"/>
    <w:multiLevelType w:val="hybridMultilevel"/>
    <w:tmpl w:val="2684D89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83C7E26"/>
    <w:multiLevelType w:val="singleLevel"/>
    <w:tmpl w:val="04050011"/>
    <w:lvl w:ilvl="0">
      <w:start w:val="1"/>
      <w:numFmt w:val="decimal"/>
      <w:lvlText w:val="%1)"/>
      <w:lvlJc w:val="left"/>
      <w:pPr>
        <w:ind w:left="720" w:hanging="360"/>
      </w:pPr>
      <w:rPr>
        <w:rFonts w:hint="default"/>
      </w:rPr>
    </w:lvl>
  </w:abstractNum>
  <w:abstractNum w:abstractNumId="7" w15:restartNumberingAfterBreak="0">
    <w:nsid w:val="189417C6"/>
    <w:multiLevelType w:val="hybridMultilevel"/>
    <w:tmpl w:val="9ABCB33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B11A3"/>
    <w:multiLevelType w:val="hybridMultilevel"/>
    <w:tmpl w:val="47CA7E26"/>
    <w:lvl w:ilvl="0" w:tplc="04050011">
      <w:start w:val="1"/>
      <w:numFmt w:val="decimal"/>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25630E42"/>
    <w:multiLevelType w:val="hybridMultilevel"/>
    <w:tmpl w:val="3BAEF9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F091E"/>
    <w:multiLevelType w:val="hybridMultilevel"/>
    <w:tmpl w:val="6A7C8DFC"/>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CF437F"/>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BF21F1"/>
    <w:multiLevelType w:val="hybridMultilevel"/>
    <w:tmpl w:val="D2A6B43A"/>
    <w:lvl w:ilvl="0" w:tplc="4BFA39F8">
      <w:start w:val="1"/>
      <w:numFmt w:val="upperRoman"/>
      <w:pStyle w:val="lnky"/>
      <w:lvlText w:val="%1."/>
      <w:lvlJc w:val="right"/>
      <w:pPr>
        <w:ind w:left="720" w:hanging="360"/>
      </w:pPr>
    </w:lvl>
    <w:lvl w:ilvl="1" w:tplc="C038C5EC">
      <w:start w:val="1"/>
      <w:numFmt w:val="decimal"/>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5C3E8E"/>
    <w:multiLevelType w:val="hybridMultilevel"/>
    <w:tmpl w:val="1C8EB63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8F51B3"/>
    <w:multiLevelType w:val="hybridMultilevel"/>
    <w:tmpl w:val="F170D4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C200A"/>
    <w:multiLevelType w:val="hybridMultilevel"/>
    <w:tmpl w:val="F3DE30D4"/>
    <w:lvl w:ilvl="0" w:tplc="766C82F8">
      <w:start w:val="1"/>
      <w:numFmt w:val="upperRoman"/>
      <w:lvlText w:val="%1."/>
      <w:lvlJc w:val="right"/>
      <w:pPr>
        <w:ind w:left="360" w:hanging="360"/>
      </w:pPr>
      <w:rPr>
        <w:b/>
      </w:rPr>
    </w:lvl>
    <w:lvl w:ilvl="1" w:tplc="0405000F">
      <w:start w:val="1"/>
      <w:numFmt w:val="decimal"/>
      <w:lvlText w:val="%2."/>
      <w:lvlJc w:val="left"/>
      <w:pPr>
        <w:tabs>
          <w:tab w:val="num" w:pos="4334"/>
        </w:tabs>
        <w:ind w:left="4334" w:hanging="360"/>
      </w:pPr>
      <w:rPr>
        <w:b/>
      </w:rPr>
    </w:lvl>
    <w:lvl w:ilvl="2" w:tplc="0405001B" w:tentative="1">
      <w:start w:val="1"/>
      <w:numFmt w:val="lowerRoman"/>
      <w:lvlText w:val="%3."/>
      <w:lvlJc w:val="right"/>
      <w:pPr>
        <w:ind w:left="5054" w:hanging="180"/>
      </w:pPr>
    </w:lvl>
    <w:lvl w:ilvl="3" w:tplc="0405000F" w:tentative="1">
      <w:start w:val="1"/>
      <w:numFmt w:val="decimal"/>
      <w:lvlText w:val="%4."/>
      <w:lvlJc w:val="left"/>
      <w:pPr>
        <w:ind w:left="5774" w:hanging="360"/>
      </w:pPr>
    </w:lvl>
    <w:lvl w:ilvl="4" w:tplc="04050019" w:tentative="1">
      <w:start w:val="1"/>
      <w:numFmt w:val="lowerLetter"/>
      <w:lvlText w:val="%5."/>
      <w:lvlJc w:val="left"/>
      <w:pPr>
        <w:ind w:left="6494" w:hanging="360"/>
      </w:pPr>
    </w:lvl>
    <w:lvl w:ilvl="5" w:tplc="0405001B" w:tentative="1">
      <w:start w:val="1"/>
      <w:numFmt w:val="lowerRoman"/>
      <w:lvlText w:val="%6."/>
      <w:lvlJc w:val="right"/>
      <w:pPr>
        <w:ind w:left="7214" w:hanging="180"/>
      </w:pPr>
    </w:lvl>
    <w:lvl w:ilvl="6" w:tplc="0405000F" w:tentative="1">
      <w:start w:val="1"/>
      <w:numFmt w:val="decimal"/>
      <w:lvlText w:val="%7."/>
      <w:lvlJc w:val="left"/>
      <w:pPr>
        <w:ind w:left="7934" w:hanging="360"/>
      </w:pPr>
    </w:lvl>
    <w:lvl w:ilvl="7" w:tplc="04050019" w:tentative="1">
      <w:start w:val="1"/>
      <w:numFmt w:val="lowerLetter"/>
      <w:lvlText w:val="%8."/>
      <w:lvlJc w:val="left"/>
      <w:pPr>
        <w:ind w:left="8654" w:hanging="360"/>
      </w:pPr>
    </w:lvl>
    <w:lvl w:ilvl="8" w:tplc="0405001B" w:tentative="1">
      <w:start w:val="1"/>
      <w:numFmt w:val="lowerRoman"/>
      <w:lvlText w:val="%9."/>
      <w:lvlJc w:val="right"/>
      <w:pPr>
        <w:ind w:left="9374" w:hanging="180"/>
      </w:pPr>
    </w:lvl>
  </w:abstractNum>
  <w:abstractNum w:abstractNumId="16" w15:restartNumberingAfterBreak="0">
    <w:nsid w:val="40AB19CF"/>
    <w:multiLevelType w:val="hybridMultilevel"/>
    <w:tmpl w:val="2BE08E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151043E"/>
    <w:multiLevelType w:val="hybridMultilevel"/>
    <w:tmpl w:val="C69E3FC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9C33F6"/>
    <w:multiLevelType w:val="hybridMultilevel"/>
    <w:tmpl w:val="592424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9682C"/>
    <w:multiLevelType w:val="hybridMultilevel"/>
    <w:tmpl w:val="1016A1A0"/>
    <w:lvl w:ilvl="0" w:tplc="B414E70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3D7F4D"/>
    <w:multiLevelType w:val="hybridMultilevel"/>
    <w:tmpl w:val="1FB4AC08"/>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E3372"/>
    <w:multiLevelType w:val="hybridMultilevel"/>
    <w:tmpl w:val="AE4C26A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2E1068"/>
    <w:multiLevelType w:val="hybridMultilevel"/>
    <w:tmpl w:val="2FFC2920"/>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530119"/>
    <w:multiLevelType w:val="hybridMultilevel"/>
    <w:tmpl w:val="A40A8EE2"/>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5E152D"/>
    <w:multiLevelType w:val="hybridMultilevel"/>
    <w:tmpl w:val="02249ADC"/>
    <w:lvl w:ilvl="0" w:tplc="04050013">
      <w:start w:val="1"/>
      <w:numFmt w:val="upperRoman"/>
      <w:lvlText w:val="%1."/>
      <w:lvlJc w:val="right"/>
      <w:pPr>
        <w:ind w:left="1008" w:hanging="360"/>
      </w:pPr>
    </w:lvl>
    <w:lvl w:ilvl="1" w:tplc="041B0019" w:tentative="1">
      <w:start w:val="1"/>
      <w:numFmt w:val="lowerLetter"/>
      <w:lvlText w:val="%2."/>
      <w:lvlJc w:val="left"/>
      <w:pPr>
        <w:ind w:left="1728" w:hanging="360"/>
      </w:pPr>
    </w:lvl>
    <w:lvl w:ilvl="2" w:tplc="041B001B" w:tentative="1">
      <w:start w:val="1"/>
      <w:numFmt w:val="lowerRoman"/>
      <w:lvlText w:val="%3."/>
      <w:lvlJc w:val="right"/>
      <w:pPr>
        <w:ind w:left="2448" w:hanging="180"/>
      </w:pPr>
    </w:lvl>
    <w:lvl w:ilvl="3" w:tplc="041B000F" w:tentative="1">
      <w:start w:val="1"/>
      <w:numFmt w:val="decimal"/>
      <w:lvlText w:val="%4."/>
      <w:lvlJc w:val="left"/>
      <w:pPr>
        <w:ind w:left="3168" w:hanging="360"/>
      </w:pPr>
    </w:lvl>
    <w:lvl w:ilvl="4" w:tplc="041B0019" w:tentative="1">
      <w:start w:val="1"/>
      <w:numFmt w:val="lowerLetter"/>
      <w:lvlText w:val="%5."/>
      <w:lvlJc w:val="left"/>
      <w:pPr>
        <w:ind w:left="3888" w:hanging="360"/>
      </w:pPr>
    </w:lvl>
    <w:lvl w:ilvl="5" w:tplc="041B001B" w:tentative="1">
      <w:start w:val="1"/>
      <w:numFmt w:val="lowerRoman"/>
      <w:lvlText w:val="%6."/>
      <w:lvlJc w:val="right"/>
      <w:pPr>
        <w:ind w:left="4608" w:hanging="180"/>
      </w:pPr>
    </w:lvl>
    <w:lvl w:ilvl="6" w:tplc="041B000F" w:tentative="1">
      <w:start w:val="1"/>
      <w:numFmt w:val="decimal"/>
      <w:lvlText w:val="%7."/>
      <w:lvlJc w:val="left"/>
      <w:pPr>
        <w:ind w:left="5328" w:hanging="360"/>
      </w:pPr>
    </w:lvl>
    <w:lvl w:ilvl="7" w:tplc="041B0019" w:tentative="1">
      <w:start w:val="1"/>
      <w:numFmt w:val="lowerLetter"/>
      <w:lvlText w:val="%8."/>
      <w:lvlJc w:val="left"/>
      <w:pPr>
        <w:ind w:left="6048" w:hanging="360"/>
      </w:pPr>
    </w:lvl>
    <w:lvl w:ilvl="8" w:tplc="041B001B" w:tentative="1">
      <w:start w:val="1"/>
      <w:numFmt w:val="lowerRoman"/>
      <w:lvlText w:val="%9."/>
      <w:lvlJc w:val="right"/>
      <w:pPr>
        <w:ind w:left="6768" w:hanging="180"/>
      </w:pPr>
    </w:lvl>
  </w:abstractNum>
  <w:abstractNum w:abstractNumId="25" w15:restartNumberingAfterBreak="0">
    <w:nsid w:val="56262D4B"/>
    <w:multiLevelType w:val="hybridMultilevel"/>
    <w:tmpl w:val="CBCE4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F55E31"/>
    <w:multiLevelType w:val="hybridMultilevel"/>
    <w:tmpl w:val="AF9212F0"/>
    <w:lvl w:ilvl="0" w:tplc="C74E91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0C2131"/>
    <w:multiLevelType w:val="hybridMultilevel"/>
    <w:tmpl w:val="23F6EF06"/>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390C4F"/>
    <w:multiLevelType w:val="hybridMultilevel"/>
    <w:tmpl w:val="10F25176"/>
    <w:lvl w:ilvl="0" w:tplc="A426BF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AB49AE"/>
    <w:multiLevelType w:val="hybridMultilevel"/>
    <w:tmpl w:val="AA88D6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838A8"/>
    <w:multiLevelType w:val="hybridMultilevel"/>
    <w:tmpl w:val="E00A7520"/>
    <w:lvl w:ilvl="0" w:tplc="B5FE8862">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3517C6"/>
    <w:multiLevelType w:val="hybridMultilevel"/>
    <w:tmpl w:val="6E68F5D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AD4B0A"/>
    <w:multiLevelType w:val="hybridMultilevel"/>
    <w:tmpl w:val="FBC8B930"/>
    <w:lvl w:ilvl="0" w:tplc="0852B3E2">
      <w:start w:val="1"/>
      <w:numFmt w:val="decimal"/>
      <w:pStyle w:val="Ustanoven"/>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C5735B"/>
    <w:multiLevelType w:val="hybridMultilevel"/>
    <w:tmpl w:val="199AA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A83886"/>
    <w:multiLevelType w:val="hybridMultilevel"/>
    <w:tmpl w:val="1816467A"/>
    <w:lvl w:ilvl="0" w:tplc="0E1A8060">
      <w:start w:val="1"/>
      <w:numFmt w:val="decimal"/>
      <w:lvlText w:val="%1)"/>
      <w:lvlJc w:val="left"/>
      <w:pPr>
        <w:ind w:left="2140" w:hanging="360"/>
      </w:pPr>
      <w:rPr>
        <w:b w:val="0"/>
      </w:rPr>
    </w:lvl>
    <w:lvl w:ilvl="1" w:tplc="04050019" w:tentative="1">
      <w:start w:val="1"/>
      <w:numFmt w:val="lowerLetter"/>
      <w:lvlText w:val="%2."/>
      <w:lvlJc w:val="left"/>
      <w:pPr>
        <w:ind w:left="2860" w:hanging="360"/>
      </w:pPr>
    </w:lvl>
    <w:lvl w:ilvl="2" w:tplc="0405001B">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35" w15:restartNumberingAfterBreak="0">
    <w:nsid w:val="7A7D6AD6"/>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DFD1905"/>
    <w:multiLevelType w:val="hybridMultilevel"/>
    <w:tmpl w:val="EE0ABC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03118C"/>
    <w:multiLevelType w:val="hybridMultilevel"/>
    <w:tmpl w:val="4244B80A"/>
    <w:lvl w:ilvl="0" w:tplc="2424F1AE">
      <w:start w:val="1"/>
      <w:numFmt w:val="bullet"/>
      <w:lvlText w:val="-"/>
      <w:lvlJc w:val="left"/>
      <w:pPr>
        <w:ind w:left="1773" w:hanging="360"/>
      </w:pPr>
      <w:rPr>
        <w:rFonts w:ascii="Calibri" w:eastAsia="Calibri" w:hAnsi="Calibri" w:cs="Calibri"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num w:numId="1">
    <w:abstractNumId w:val="0"/>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2"/>
    </w:lvlOverride>
  </w:num>
  <w:num w:numId="4">
    <w:abstractNumId w:val="35"/>
  </w:num>
  <w:num w:numId="5">
    <w:abstractNumId w:val="13"/>
  </w:num>
  <w:num w:numId="6">
    <w:abstractNumId w:val="15"/>
  </w:num>
  <w:num w:numId="7">
    <w:abstractNumId w:val="3"/>
  </w:num>
  <w:num w:numId="8">
    <w:abstractNumId w:val="19"/>
  </w:num>
  <w:num w:numId="9">
    <w:abstractNumId w:val="6"/>
  </w:num>
  <w:num w:numId="10">
    <w:abstractNumId w:val="34"/>
  </w:num>
  <w:num w:numId="11">
    <w:abstractNumId w:val="7"/>
  </w:num>
  <w:num w:numId="12">
    <w:abstractNumId w:val="1"/>
  </w:num>
  <w:num w:numId="13">
    <w:abstractNumId w:val="8"/>
  </w:num>
  <w:num w:numId="14">
    <w:abstractNumId w:val="9"/>
  </w:num>
  <w:num w:numId="15">
    <w:abstractNumId w:val="5"/>
  </w:num>
  <w:num w:numId="16">
    <w:abstractNumId w:val="21"/>
  </w:num>
  <w:num w:numId="17">
    <w:abstractNumId w:val="18"/>
  </w:num>
  <w:num w:numId="18">
    <w:abstractNumId w:val="36"/>
  </w:num>
  <w:num w:numId="19">
    <w:abstractNumId w:val="24"/>
  </w:num>
  <w:num w:numId="20">
    <w:abstractNumId w:val="23"/>
  </w:num>
  <w:num w:numId="21">
    <w:abstractNumId w:val="10"/>
  </w:num>
  <w:num w:numId="22">
    <w:abstractNumId w:val="20"/>
  </w:num>
  <w:num w:numId="23">
    <w:abstractNumId w:val="27"/>
  </w:num>
  <w:num w:numId="24">
    <w:abstractNumId w:val="31"/>
  </w:num>
  <w:num w:numId="25">
    <w:abstractNumId w:val="17"/>
  </w:num>
  <w:num w:numId="26">
    <w:abstractNumId w:val="12"/>
  </w:num>
  <w:num w:numId="27">
    <w:abstractNumId w:val="22"/>
  </w:num>
  <w:num w:numId="28">
    <w:abstractNumId w:val="2"/>
  </w:num>
  <w:num w:numId="29">
    <w:abstractNumId w:val="26"/>
  </w:num>
  <w:num w:numId="30">
    <w:abstractNumId w:val="26"/>
    <w:lvlOverride w:ilvl="0">
      <w:startOverride w:val="1"/>
    </w:lvlOverride>
  </w:num>
  <w:num w:numId="31">
    <w:abstractNumId w:val="30"/>
  </w:num>
  <w:num w:numId="32">
    <w:abstractNumId w:val="30"/>
    <w:lvlOverride w:ilvl="0">
      <w:startOverride w:val="1"/>
    </w:lvlOverride>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32"/>
  </w:num>
  <w:num w:numId="39">
    <w:abstractNumId w:val="32"/>
    <w:lvlOverride w:ilvl="0">
      <w:startOverride w:val="1"/>
    </w:lvlOverride>
  </w:num>
  <w:num w:numId="40">
    <w:abstractNumId w:val="32"/>
    <w:lvlOverride w:ilvl="0">
      <w:startOverride w:val="1"/>
    </w:lvlOverride>
  </w:num>
  <w:num w:numId="41">
    <w:abstractNumId w:val="32"/>
    <w:lvlOverride w:ilvl="0">
      <w:startOverride w:val="1"/>
    </w:lvlOverride>
  </w:num>
  <w:num w:numId="42">
    <w:abstractNumId w:val="32"/>
    <w:lvlOverride w:ilvl="0">
      <w:startOverride w:val="1"/>
    </w:lvlOverride>
  </w:num>
  <w:num w:numId="43">
    <w:abstractNumId w:val="14"/>
  </w:num>
  <w:num w:numId="44">
    <w:abstractNumId w:val="29"/>
  </w:num>
  <w:num w:numId="45">
    <w:abstractNumId w:val="4"/>
  </w:num>
  <w:num w:numId="46">
    <w:abstractNumId w:val="25"/>
  </w:num>
  <w:num w:numId="47">
    <w:abstractNumId w:val="37"/>
  </w:num>
  <w:num w:numId="48">
    <w:abstractNumId w:val="33"/>
  </w:num>
  <w:num w:numId="49">
    <w:abstractNumId w:val="28"/>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B3"/>
    <w:rsid w:val="000108FD"/>
    <w:rsid w:val="00072CC1"/>
    <w:rsid w:val="00077CED"/>
    <w:rsid w:val="000A4519"/>
    <w:rsid w:val="000B0769"/>
    <w:rsid w:val="000B1323"/>
    <w:rsid w:val="000C25F0"/>
    <w:rsid w:val="000F7769"/>
    <w:rsid w:val="001019DD"/>
    <w:rsid w:val="00120CC3"/>
    <w:rsid w:val="00127B0C"/>
    <w:rsid w:val="00141493"/>
    <w:rsid w:val="001B50C6"/>
    <w:rsid w:val="001D1E8B"/>
    <w:rsid w:val="001D34A1"/>
    <w:rsid w:val="001D5F79"/>
    <w:rsid w:val="001D6AD4"/>
    <w:rsid w:val="001D6FBF"/>
    <w:rsid w:val="001F4A00"/>
    <w:rsid w:val="001F57D9"/>
    <w:rsid w:val="00214704"/>
    <w:rsid w:val="002231F2"/>
    <w:rsid w:val="002256D8"/>
    <w:rsid w:val="00233D3D"/>
    <w:rsid w:val="00247676"/>
    <w:rsid w:val="00257C63"/>
    <w:rsid w:val="00273EC2"/>
    <w:rsid w:val="00290768"/>
    <w:rsid w:val="002B48EE"/>
    <w:rsid w:val="002D5F13"/>
    <w:rsid w:val="002E5F48"/>
    <w:rsid w:val="002F1CE3"/>
    <w:rsid w:val="003023FA"/>
    <w:rsid w:val="003060DA"/>
    <w:rsid w:val="00327CF1"/>
    <w:rsid w:val="00357A67"/>
    <w:rsid w:val="003756E9"/>
    <w:rsid w:val="00376F1F"/>
    <w:rsid w:val="003A200E"/>
    <w:rsid w:val="003A359E"/>
    <w:rsid w:val="003B389D"/>
    <w:rsid w:val="003B4BC4"/>
    <w:rsid w:val="003C0E00"/>
    <w:rsid w:val="003C73B4"/>
    <w:rsid w:val="00406771"/>
    <w:rsid w:val="00406CB1"/>
    <w:rsid w:val="00436996"/>
    <w:rsid w:val="004511DF"/>
    <w:rsid w:val="00452A4F"/>
    <w:rsid w:val="004652C6"/>
    <w:rsid w:val="00472291"/>
    <w:rsid w:val="004E74FC"/>
    <w:rsid w:val="004F1080"/>
    <w:rsid w:val="00524F21"/>
    <w:rsid w:val="00534A20"/>
    <w:rsid w:val="005739E9"/>
    <w:rsid w:val="00594CC0"/>
    <w:rsid w:val="005A6088"/>
    <w:rsid w:val="005A64FD"/>
    <w:rsid w:val="005C0279"/>
    <w:rsid w:val="005C342B"/>
    <w:rsid w:val="00622D9B"/>
    <w:rsid w:val="00635E16"/>
    <w:rsid w:val="006400E2"/>
    <w:rsid w:val="00644BB8"/>
    <w:rsid w:val="00654007"/>
    <w:rsid w:val="006A1238"/>
    <w:rsid w:val="006A2211"/>
    <w:rsid w:val="006A262C"/>
    <w:rsid w:val="006C4554"/>
    <w:rsid w:val="006D75CB"/>
    <w:rsid w:val="006E33E1"/>
    <w:rsid w:val="006F143E"/>
    <w:rsid w:val="006F3EC2"/>
    <w:rsid w:val="007132D0"/>
    <w:rsid w:val="00714029"/>
    <w:rsid w:val="0073257B"/>
    <w:rsid w:val="007612F6"/>
    <w:rsid w:val="00792130"/>
    <w:rsid w:val="00793F29"/>
    <w:rsid w:val="007A59E7"/>
    <w:rsid w:val="007B20DE"/>
    <w:rsid w:val="007B2AB3"/>
    <w:rsid w:val="007C391C"/>
    <w:rsid w:val="007E2014"/>
    <w:rsid w:val="007E3EB9"/>
    <w:rsid w:val="007F716B"/>
    <w:rsid w:val="0080614F"/>
    <w:rsid w:val="00826C94"/>
    <w:rsid w:val="0083619E"/>
    <w:rsid w:val="008525D1"/>
    <w:rsid w:val="00853493"/>
    <w:rsid w:val="00854720"/>
    <w:rsid w:val="00865003"/>
    <w:rsid w:val="00886601"/>
    <w:rsid w:val="008B7317"/>
    <w:rsid w:val="008E08A3"/>
    <w:rsid w:val="008E40DA"/>
    <w:rsid w:val="008E5BB6"/>
    <w:rsid w:val="00902B10"/>
    <w:rsid w:val="00913B2B"/>
    <w:rsid w:val="0092563E"/>
    <w:rsid w:val="00941AAC"/>
    <w:rsid w:val="009422B5"/>
    <w:rsid w:val="009A29BE"/>
    <w:rsid w:val="009B2676"/>
    <w:rsid w:val="009F3251"/>
    <w:rsid w:val="00A043CC"/>
    <w:rsid w:val="00A04674"/>
    <w:rsid w:val="00A053EE"/>
    <w:rsid w:val="00A2336B"/>
    <w:rsid w:val="00A24BA8"/>
    <w:rsid w:val="00A52F4B"/>
    <w:rsid w:val="00A9063F"/>
    <w:rsid w:val="00A91484"/>
    <w:rsid w:val="00AB430C"/>
    <w:rsid w:val="00AB6B25"/>
    <w:rsid w:val="00AD1571"/>
    <w:rsid w:val="00AD4C41"/>
    <w:rsid w:val="00AE4C85"/>
    <w:rsid w:val="00B04405"/>
    <w:rsid w:val="00B2341A"/>
    <w:rsid w:val="00B34D26"/>
    <w:rsid w:val="00B62CAE"/>
    <w:rsid w:val="00BB6D42"/>
    <w:rsid w:val="00BE687A"/>
    <w:rsid w:val="00BF31A7"/>
    <w:rsid w:val="00C301EA"/>
    <w:rsid w:val="00C34E99"/>
    <w:rsid w:val="00C50869"/>
    <w:rsid w:val="00C94B9C"/>
    <w:rsid w:val="00CB15A6"/>
    <w:rsid w:val="00CC1C6B"/>
    <w:rsid w:val="00CD13EE"/>
    <w:rsid w:val="00CD3A4D"/>
    <w:rsid w:val="00CE0360"/>
    <w:rsid w:val="00CE3728"/>
    <w:rsid w:val="00D35B7E"/>
    <w:rsid w:val="00D42E5A"/>
    <w:rsid w:val="00D45F1D"/>
    <w:rsid w:val="00D63A5D"/>
    <w:rsid w:val="00DA25E8"/>
    <w:rsid w:val="00DB5036"/>
    <w:rsid w:val="00DD3963"/>
    <w:rsid w:val="00DF23D1"/>
    <w:rsid w:val="00E03A44"/>
    <w:rsid w:val="00E06714"/>
    <w:rsid w:val="00E143C2"/>
    <w:rsid w:val="00E315E7"/>
    <w:rsid w:val="00E51E98"/>
    <w:rsid w:val="00E67C72"/>
    <w:rsid w:val="00E96B10"/>
    <w:rsid w:val="00EA59C3"/>
    <w:rsid w:val="00EA7D03"/>
    <w:rsid w:val="00EB1203"/>
    <w:rsid w:val="00EB3462"/>
    <w:rsid w:val="00EB7C1D"/>
    <w:rsid w:val="00EC6816"/>
    <w:rsid w:val="00EE55BB"/>
    <w:rsid w:val="00EE6E86"/>
    <w:rsid w:val="00EE7349"/>
    <w:rsid w:val="00F00B21"/>
    <w:rsid w:val="00F179E6"/>
    <w:rsid w:val="00F439C9"/>
    <w:rsid w:val="00F67069"/>
    <w:rsid w:val="00F74A63"/>
    <w:rsid w:val="00F80BE0"/>
    <w:rsid w:val="00FA0717"/>
    <w:rsid w:val="00FC7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6ED6805-E125-43FA-A375-E27281BD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2AB3"/>
    <w:pPr>
      <w:widowControl w:val="0"/>
      <w:overflowPunct w:val="0"/>
      <w:autoSpaceDE w:val="0"/>
      <w:autoSpaceDN w:val="0"/>
      <w:adjustRightInd w:val="0"/>
      <w:spacing w:before="120"/>
      <w:jc w:val="both"/>
      <w:textAlignment w:val="baseline"/>
    </w:pPr>
    <w:rPr>
      <w:rFonts w:eastAsia="Times New Roman"/>
      <w:sz w:val="22"/>
      <w:szCs w:val="22"/>
    </w:rPr>
  </w:style>
  <w:style w:type="paragraph" w:styleId="Nadpis3">
    <w:name w:val="heading 3"/>
    <w:basedOn w:val="Normln"/>
    <w:next w:val="Normln"/>
    <w:link w:val="Nadpis3Char"/>
    <w:uiPriority w:val="9"/>
    <w:semiHidden/>
    <w:unhideWhenUsed/>
    <w:qFormat/>
    <w:rsid w:val="00FC7552"/>
    <w:pPr>
      <w:keepNext/>
      <w:keepLines/>
      <w:spacing w:before="200"/>
      <w:outlineLvl w:val="2"/>
    </w:pPr>
    <w:rPr>
      <w:rFonts w:ascii="Cambria" w:hAnsi="Cambria"/>
      <w:b/>
      <w:bCs/>
      <w:color w:val="4F81BD"/>
    </w:rPr>
  </w:style>
  <w:style w:type="paragraph" w:styleId="Nadpis4">
    <w:name w:val="heading 4"/>
    <w:basedOn w:val="Nadpis3"/>
    <w:next w:val="Normln"/>
    <w:link w:val="Nadpis4Char"/>
    <w:qFormat/>
    <w:rsid w:val="00FC7552"/>
    <w:pPr>
      <w:widowControl/>
      <w:suppressAutoHyphens/>
      <w:spacing w:before="120" w:after="60"/>
      <w:jc w:val="right"/>
      <w:outlineLvl w:val="3"/>
    </w:pPr>
    <w:rPr>
      <w:rFonts w:ascii="Bliss 2 Bold" w:hAnsi="Bliss 2 Bold"/>
      <w:bCs w:val="0"/>
      <w:color w:val="636363"/>
      <w:sz w:val="24"/>
      <w:szCs w:val="3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2AB3"/>
    <w:rPr>
      <w:rFonts w:ascii="Tahoma" w:hAnsi="Tahoma" w:cs="Tahoma"/>
      <w:sz w:val="16"/>
      <w:szCs w:val="16"/>
    </w:rPr>
  </w:style>
  <w:style w:type="character" w:customStyle="1" w:styleId="TextbublinyChar">
    <w:name w:val="Text bubliny Char"/>
    <w:link w:val="Textbubliny"/>
    <w:uiPriority w:val="99"/>
    <w:semiHidden/>
    <w:rsid w:val="007B2AB3"/>
    <w:rPr>
      <w:rFonts w:ascii="Tahoma" w:hAnsi="Tahoma" w:cs="Tahoma"/>
      <w:sz w:val="16"/>
      <w:szCs w:val="16"/>
    </w:rPr>
  </w:style>
  <w:style w:type="paragraph" w:styleId="Zhlav">
    <w:name w:val="header"/>
    <w:basedOn w:val="Normln"/>
    <w:link w:val="ZhlavChar"/>
    <w:uiPriority w:val="99"/>
    <w:unhideWhenUsed/>
    <w:rsid w:val="007B2AB3"/>
    <w:pPr>
      <w:tabs>
        <w:tab w:val="center" w:pos="4536"/>
        <w:tab w:val="right" w:pos="9072"/>
      </w:tabs>
    </w:pPr>
  </w:style>
  <w:style w:type="character" w:customStyle="1" w:styleId="ZhlavChar">
    <w:name w:val="Záhlaví Char"/>
    <w:basedOn w:val="Standardnpsmoodstavce"/>
    <w:link w:val="Zhlav"/>
    <w:uiPriority w:val="99"/>
    <w:rsid w:val="007B2AB3"/>
  </w:style>
  <w:style w:type="paragraph" w:styleId="Zpat">
    <w:name w:val="footer"/>
    <w:basedOn w:val="Normln"/>
    <w:link w:val="ZpatChar"/>
    <w:uiPriority w:val="99"/>
    <w:unhideWhenUsed/>
    <w:rsid w:val="007B2AB3"/>
    <w:pPr>
      <w:tabs>
        <w:tab w:val="center" w:pos="4536"/>
        <w:tab w:val="right" w:pos="9072"/>
      </w:tabs>
    </w:pPr>
  </w:style>
  <w:style w:type="character" w:customStyle="1" w:styleId="ZpatChar">
    <w:name w:val="Zápatí Char"/>
    <w:basedOn w:val="Standardnpsmoodstavce"/>
    <w:link w:val="Zpat"/>
    <w:uiPriority w:val="99"/>
    <w:rsid w:val="007B2AB3"/>
  </w:style>
  <w:style w:type="character" w:styleId="Zstupntext">
    <w:name w:val="Placeholder Text"/>
    <w:uiPriority w:val="99"/>
    <w:semiHidden/>
    <w:rsid w:val="007B2AB3"/>
    <w:rPr>
      <w:color w:val="808080"/>
    </w:rPr>
  </w:style>
  <w:style w:type="paragraph" w:styleId="Nzev">
    <w:name w:val="Title"/>
    <w:basedOn w:val="Normln"/>
    <w:next w:val="Normln"/>
    <w:link w:val="NzevChar"/>
    <w:qFormat/>
    <w:rsid w:val="007B2AB3"/>
    <w:pPr>
      <w:spacing w:before="480" w:after="240"/>
      <w:contextualSpacing/>
      <w:jc w:val="left"/>
    </w:pPr>
    <w:rPr>
      <w:rFonts w:cs="Calibri"/>
      <w:b/>
      <w:spacing w:val="5"/>
      <w:kern w:val="28"/>
      <w:sz w:val="32"/>
      <w:szCs w:val="32"/>
    </w:rPr>
  </w:style>
  <w:style w:type="character" w:customStyle="1" w:styleId="NzevChar">
    <w:name w:val="Název Char"/>
    <w:link w:val="Nzev"/>
    <w:rsid w:val="007B2AB3"/>
    <w:rPr>
      <w:rFonts w:ascii="Calibri" w:eastAsia="Times New Roman" w:hAnsi="Calibri" w:cs="Calibri"/>
      <w:b/>
      <w:spacing w:val="5"/>
      <w:kern w:val="28"/>
      <w:sz w:val="32"/>
      <w:szCs w:val="32"/>
      <w:lang w:eastAsia="cs-CZ"/>
    </w:rPr>
  </w:style>
  <w:style w:type="paragraph" w:customStyle="1" w:styleId="Smlouva01lnek">
    <w:name w:val="Smlouva 01 článek"/>
    <w:basedOn w:val="Normln"/>
    <w:rsid w:val="007B2AB3"/>
    <w:pPr>
      <w:keepNext/>
      <w:numPr>
        <w:numId w:val="1"/>
      </w:numPr>
      <w:spacing w:before="720"/>
      <w:jc w:val="center"/>
    </w:pPr>
    <w:rPr>
      <w:b/>
    </w:rPr>
  </w:style>
  <w:style w:type="paragraph" w:customStyle="1" w:styleId="Smlouva02nadpislnku">
    <w:name w:val="Smlouva 02 nadpis článku"/>
    <w:basedOn w:val="Normln"/>
    <w:qFormat/>
    <w:rsid w:val="007B2AB3"/>
    <w:pPr>
      <w:keepNext/>
      <w:numPr>
        <w:ilvl w:val="1"/>
        <w:numId w:val="1"/>
      </w:numPr>
      <w:spacing w:before="0"/>
      <w:jc w:val="center"/>
    </w:pPr>
    <w:rPr>
      <w:b/>
    </w:rPr>
  </w:style>
  <w:style w:type="paragraph" w:customStyle="1" w:styleId="Smlouva03odstavec">
    <w:name w:val="Smlouva 03 odstavec"/>
    <w:basedOn w:val="Normln"/>
    <w:rsid w:val="007B2AB3"/>
    <w:pPr>
      <w:widowControl/>
      <w:numPr>
        <w:ilvl w:val="2"/>
        <w:numId w:val="1"/>
      </w:numPr>
      <w:spacing w:before="240"/>
    </w:pPr>
  </w:style>
  <w:style w:type="paragraph" w:customStyle="1" w:styleId="Smlouva04psmeno">
    <w:name w:val="Smlouva 04 písmeno"/>
    <w:basedOn w:val="Normln"/>
    <w:rsid w:val="007B2AB3"/>
    <w:pPr>
      <w:widowControl/>
      <w:numPr>
        <w:ilvl w:val="3"/>
        <w:numId w:val="1"/>
      </w:numPr>
      <w:tabs>
        <w:tab w:val="clear" w:pos="789"/>
        <w:tab w:val="num" w:pos="720"/>
      </w:tabs>
      <w:ind w:left="720"/>
    </w:pPr>
  </w:style>
  <w:style w:type="paragraph" w:customStyle="1" w:styleId="Smlouva05odrka">
    <w:name w:val="Smlouva 05 odrážka"/>
    <w:basedOn w:val="Normln"/>
    <w:qFormat/>
    <w:rsid w:val="007B2AB3"/>
    <w:pPr>
      <w:widowControl/>
      <w:numPr>
        <w:ilvl w:val="4"/>
        <w:numId w:val="1"/>
      </w:numPr>
    </w:pPr>
  </w:style>
  <w:style w:type="paragraph" w:customStyle="1" w:styleId="BodyText22">
    <w:name w:val="Body Text 22"/>
    <w:basedOn w:val="Normln"/>
    <w:rsid w:val="00C34E99"/>
    <w:pPr>
      <w:widowControl/>
      <w:spacing w:before="0"/>
    </w:pPr>
    <w:rPr>
      <w:rFonts w:ascii="Arial" w:hAnsi="Arial"/>
      <w:szCs w:val="20"/>
      <w:lang w:val="en-GB"/>
    </w:rPr>
  </w:style>
  <w:style w:type="character" w:customStyle="1" w:styleId="Nadpis4Char">
    <w:name w:val="Nadpis 4 Char"/>
    <w:link w:val="Nadpis4"/>
    <w:rsid w:val="00FC7552"/>
    <w:rPr>
      <w:rFonts w:ascii="Bliss 2 Bold" w:eastAsia="Times New Roman" w:hAnsi="Bliss 2 Bold" w:cs="Times New Roman"/>
      <w:b/>
      <w:color w:val="636363"/>
      <w:sz w:val="24"/>
      <w:szCs w:val="33"/>
      <w:lang w:eastAsia="cs-CZ"/>
    </w:rPr>
  </w:style>
  <w:style w:type="character" w:customStyle="1" w:styleId="Nadpis3Char">
    <w:name w:val="Nadpis 3 Char"/>
    <w:link w:val="Nadpis3"/>
    <w:uiPriority w:val="9"/>
    <w:semiHidden/>
    <w:rsid w:val="00FC7552"/>
    <w:rPr>
      <w:rFonts w:ascii="Cambria" w:eastAsia="Times New Roman" w:hAnsi="Cambria" w:cs="Times New Roman"/>
      <w:b/>
      <w:bCs/>
      <w:color w:val="4F81BD"/>
      <w:lang w:eastAsia="cs-CZ"/>
    </w:rPr>
  </w:style>
  <w:style w:type="paragraph" w:styleId="Odstavecseseznamem">
    <w:name w:val="List Paragraph"/>
    <w:basedOn w:val="Normln"/>
    <w:link w:val="OdstavecseseznamemChar"/>
    <w:uiPriority w:val="34"/>
    <w:qFormat/>
    <w:rsid w:val="001D6AD4"/>
    <w:pPr>
      <w:spacing w:after="120"/>
      <w:ind w:left="284" w:hanging="284"/>
      <w:jc w:val="left"/>
    </w:pPr>
  </w:style>
  <w:style w:type="paragraph" w:styleId="Zkladntextodsazen">
    <w:name w:val="Body Text Indent"/>
    <w:basedOn w:val="Zkladntext"/>
    <w:link w:val="ZkladntextodsazenChar"/>
    <w:rsid w:val="003023FA"/>
    <w:pPr>
      <w:widowControl/>
      <w:spacing w:before="40" w:after="20"/>
      <w:ind w:left="283"/>
    </w:pPr>
    <w:rPr>
      <w:rFonts w:ascii="Times New Roman" w:hAnsi="Times New Roman"/>
      <w:sz w:val="24"/>
      <w:szCs w:val="20"/>
    </w:rPr>
  </w:style>
  <w:style w:type="character" w:customStyle="1" w:styleId="ZkladntextodsazenChar">
    <w:name w:val="Základní text odsazený Char"/>
    <w:link w:val="Zkladntextodsazen"/>
    <w:rsid w:val="003023FA"/>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3023FA"/>
    <w:pPr>
      <w:spacing w:after="120"/>
    </w:pPr>
  </w:style>
  <w:style w:type="character" w:customStyle="1" w:styleId="ZkladntextChar">
    <w:name w:val="Základní text Char"/>
    <w:link w:val="Zkladntext"/>
    <w:uiPriority w:val="99"/>
    <w:semiHidden/>
    <w:rsid w:val="003023FA"/>
    <w:rPr>
      <w:rFonts w:ascii="Calibri" w:eastAsia="Times New Roman" w:hAnsi="Calibri" w:cs="Times New Roman"/>
      <w:lang w:eastAsia="cs-CZ"/>
    </w:rPr>
  </w:style>
  <w:style w:type="paragraph" w:customStyle="1" w:styleId="lnky">
    <w:name w:val="Články"/>
    <w:basedOn w:val="Odstavecseseznamem"/>
    <w:link w:val="lnkyChar"/>
    <w:qFormat/>
    <w:rsid w:val="008525D1"/>
    <w:pPr>
      <w:numPr>
        <w:numId w:val="26"/>
      </w:numPr>
      <w:jc w:val="center"/>
    </w:pPr>
    <w:rPr>
      <w:b/>
    </w:rPr>
  </w:style>
  <w:style w:type="character" w:customStyle="1" w:styleId="OdstavecseseznamemChar">
    <w:name w:val="Odstavec se seznamem Char"/>
    <w:link w:val="Odstavecseseznamem"/>
    <w:uiPriority w:val="34"/>
    <w:rsid w:val="001D6AD4"/>
    <w:rPr>
      <w:rFonts w:ascii="Calibri" w:eastAsia="Times New Roman" w:hAnsi="Calibri" w:cs="Times New Roman"/>
      <w:lang w:eastAsia="cs-CZ"/>
    </w:rPr>
  </w:style>
  <w:style w:type="character" w:customStyle="1" w:styleId="lnkyChar">
    <w:name w:val="Články Char"/>
    <w:link w:val="lnky"/>
    <w:rsid w:val="008525D1"/>
    <w:rPr>
      <w:rFonts w:ascii="Calibri" w:eastAsia="Times New Roman" w:hAnsi="Calibri" w:cs="Times New Roman"/>
      <w:b/>
      <w:lang w:eastAsia="cs-CZ"/>
    </w:rPr>
  </w:style>
  <w:style w:type="table" w:styleId="Mkatabulky">
    <w:name w:val="Table Grid"/>
    <w:basedOn w:val="Normlntabulka"/>
    <w:uiPriority w:val="59"/>
    <w:rsid w:val="00A2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anoven">
    <w:name w:val="Ustanovení"/>
    <w:basedOn w:val="Odstavecseseznamem"/>
    <w:link w:val="UstanovenChar"/>
    <w:qFormat/>
    <w:rsid w:val="000B1323"/>
    <w:pPr>
      <w:numPr>
        <w:numId w:val="38"/>
      </w:numPr>
      <w:ind w:left="426" w:hanging="426"/>
    </w:pPr>
  </w:style>
  <w:style w:type="paragraph" w:styleId="Bezmezer">
    <w:name w:val="No Spacing"/>
    <w:uiPriority w:val="1"/>
    <w:qFormat/>
    <w:rsid w:val="005A6088"/>
    <w:pPr>
      <w:widowControl w:val="0"/>
      <w:overflowPunct w:val="0"/>
      <w:autoSpaceDE w:val="0"/>
      <w:autoSpaceDN w:val="0"/>
      <w:adjustRightInd w:val="0"/>
      <w:jc w:val="both"/>
      <w:textAlignment w:val="baseline"/>
    </w:pPr>
    <w:rPr>
      <w:rFonts w:eastAsia="Times New Roman"/>
      <w:sz w:val="22"/>
      <w:szCs w:val="22"/>
    </w:rPr>
  </w:style>
  <w:style w:type="character" w:customStyle="1" w:styleId="UstanovenChar">
    <w:name w:val="Ustanovení Char"/>
    <w:link w:val="Ustanoven"/>
    <w:rsid w:val="000B1323"/>
    <w:rPr>
      <w:rFonts w:ascii="Calibri" w:eastAsia="Times New Roman" w:hAnsi="Calibri" w:cs="Times New Roman"/>
      <w:b w:val="0"/>
      <w:lang w:eastAsia="cs-CZ"/>
    </w:rPr>
  </w:style>
  <w:style w:type="character" w:customStyle="1" w:styleId="Styl1">
    <w:name w:val="Styl1"/>
    <w:uiPriority w:val="1"/>
    <w:rsid w:val="00F80BE0"/>
    <w:rPr>
      <w:b/>
    </w:rPr>
  </w:style>
  <w:style w:type="character" w:customStyle="1" w:styleId="Styl2">
    <w:name w:val="Styl2"/>
    <w:uiPriority w:val="1"/>
    <w:rsid w:val="00F80BE0"/>
    <w:rPr>
      <w:b/>
    </w:rPr>
  </w:style>
  <w:style w:type="character" w:customStyle="1" w:styleId="Styl3">
    <w:name w:val="Styl3"/>
    <w:uiPriority w:val="1"/>
    <w:rsid w:val="00F80BE0"/>
    <w:rPr>
      <w:b/>
      <w:sz w:val="32"/>
    </w:rPr>
  </w:style>
  <w:style w:type="character" w:customStyle="1" w:styleId="Styl4">
    <w:name w:val="Styl4"/>
    <w:uiPriority w:val="1"/>
    <w:rsid w:val="00F80BE0"/>
    <w:rPr>
      <w:rFonts w:ascii="Calibri" w:hAnsi="Calibri"/>
      <w:b/>
      <w:sz w:val="32"/>
    </w:rPr>
  </w:style>
  <w:style w:type="paragraph" w:customStyle="1" w:styleId="Default">
    <w:name w:val="Default"/>
    <w:rsid w:val="003756E9"/>
    <w:pPr>
      <w:autoSpaceDE w:val="0"/>
      <w:autoSpaceDN w:val="0"/>
      <w:adjustRightInd w:val="0"/>
    </w:pPr>
    <w:rPr>
      <w:rFonts w:eastAsia="Times New Roman" w:cs="Calibri"/>
      <w:color w:val="000000"/>
      <w:sz w:val="24"/>
      <w:szCs w:val="24"/>
    </w:rPr>
  </w:style>
  <w:style w:type="paragraph" w:styleId="Textpoznpodarou">
    <w:name w:val="footnote text"/>
    <w:basedOn w:val="Normln"/>
    <w:link w:val="TextpoznpodarouChar"/>
    <w:uiPriority w:val="99"/>
    <w:rsid w:val="003756E9"/>
    <w:pPr>
      <w:widowControl/>
      <w:overflowPunct/>
      <w:autoSpaceDE/>
      <w:autoSpaceDN/>
      <w:adjustRightInd/>
      <w:spacing w:before="0"/>
      <w:jc w:val="left"/>
      <w:textAlignment w:val="auto"/>
    </w:pPr>
    <w:rPr>
      <w:rFonts w:ascii="Times New Roman" w:hAnsi="Times New Roman"/>
      <w:sz w:val="20"/>
      <w:szCs w:val="20"/>
    </w:rPr>
  </w:style>
  <w:style w:type="character" w:customStyle="1" w:styleId="TextpoznpodarouChar">
    <w:name w:val="Text pozn. pod čarou Char"/>
    <w:link w:val="Textpoznpodarou"/>
    <w:uiPriority w:val="99"/>
    <w:rsid w:val="003756E9"/>
    <w:rPr>
      <w:rFonts w:ascii="Times New Roman" w:eastAsia="Times New Roman" w:hAnsi="Times New Roman" w:cs="Times New Roman"/>
      <w:sz w:val="20"/>
      <w:szCs w:val="20"/>
      <w:lang w:eastAsia="cs-CZ"/>
    </w:rPr>
  </w:style>
  <w:style w:type="character" w:styleId="Znakapoznpodarou">
    <w:name w:val="footnote reference"/>
    <w:rsid w:val="003756E9"/>
    <w:rPr>
      <w:vertAlign w:val="superscript"/>
    </w:rPr>
  </w:style>
  <w:style w:type="character" w:styleId="Hypertextovodkaz">
    <w:name w:val="Hyperlink"/>
    <w:uiPriority w:val="99"/>
    <w:unhideWhenUsed/>
    <w:rsid w:val="00375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alla\AppData\Local\Microsoft\Windows\Temporary%20Internet%20Files\Content.Outlook\QVJGWGXI\V&#253;konov&#233;%20k&#345;ivky%20PZP%20Uh&#345;ice%20-%20180%20GWh_aukkce%2010%2011%202016.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halla\AppData\Local\Microsoft\Windows\Temporary%20Internet%20Files\Content.Outlook\QVJGWGXI\V&#253;konov&#233;%20k&#345;ivky%20PZP%20Uh&#345;ice%20-%20180%20GWh_aukkce%2010%2011%202016.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Withdrawal Curve</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Available output</a:t>
            </a:r>
          </a:p>
        </c:rich>
      </c:tx>
      <c:layout>
        <c:manualLayout>
          <c:xMode val="edge"/>
          <c:yMode val="edge"/>
          <c:x val="0.36412914290143594"/>
          <c:y val="3.1768924923988005E-4"/>
        </c:manualLayout>
      </c:layout>
      <c:overlay val="0"/>
      <c:spPr>
        <a:noFill/>
        <a:ln w="25400">
          <a:noFill/>
        </a:ln>
      </c:spPr>
    </c:title>
    <c:autoTitleDeleted val="0"/>
    <c:plotArea>
      <c:layout>
        <c:manualLayout>
          <c:layoutTarget val="inner"/>
          <c:xMode val="edge"/>
          <c:yMode val="edge"/>
          <c:x val="8.9347470819634012E-2"/>
          <c:y val="0.14514159585249864"/>
          <c:w val="0.89264596642400829"/>
          <c:h val="0.7389293579948546"/>
        </c:manualLayout>
      </c:layout>
      <c:scatterChart>
        <c:scatterStyle val="lineMarker"/>
        <c:varyColors val="0"/>
        <c:ser>
          <c:idx val="0"/>
          <c:order val="0"/>
          <c:tx>
            <c:v>Withdrawal Profile</c:v>
          </c:tx>
          <c:spPr>
            <a:ln w="38100">
              <a:solidFill>
                <a:srgbClr val="00B050"/>
              </a:solidFill>
              <a:prstDash val="solid"/>
            </a:ln>
          </c:spPr>
          <c:marker>
            <c:symbol val="circle"/>
            <c:size val="6"/>
            <c:spPr>
              <a:solidFill>
                <a:srgbClr val="FFFFFF"/>
              </a:solidFill>
              <a:ln>
                <a:solidFill>
                  <a:srgbClr val="339966"/>
                </a:solidFill>
                <a:prstDash val="solid"/>
              </a:ln>
            </c:spPr>
          </c:marker>
          <c:xVal>
            <c:numRef>
              <c:f>List2!$B$3:$B$4</c:f>
              <c:numCache>
                <c:formatCode>0.0</c:formatCode>
                <c:ptCount val="2"/>
                <c:pt idx="0">
                  <c:v>100</c:v>
                </c:pt>
                <c:pt idx="1">
                  <c:v>0</c:v>
                </c:pt>
              </c:numCache>
            </c:numRef>
          </c:xVal>
          <c:yVal>
            <c:numRef>
              <c:f>List2!$C$3:$C$4</c:f>
              <c:numCache>
                <c:formatCode>0.00</c:formatCode>
                <c:ptCount val="2"/>
                <c:pt idx="0" formatCode="0.0">
                  <c:v>100</c:v>
                </c:pt>
                <c:pt idx="1">
                  <c:v>100</c:v>
                </c:pt>
              </c:numCache>
            </c:numRef>
          </c:yVal>
          <c:smooth val="0"/>
          <c:extLst>
            <c:ext xmlns:c16="http://schemas.microsoft.com/office/drawing/2014/chart" uri="{C3380CC4-5D6E-409C-BE32-E72D297353CC}">
              <c16:uniqueId val="{00000000-93E4-4BE1-A507-02FCDBF4FAD6}"/>
            </c:ext>
          </c:extLst>
        </c:ser>
        <c:ser>
          <c:idx val="1"/>
          <c:order val="1"/>
          <c:spPr>
            <a:ln w="28575">
              <a:noFill/>
            </a:ln>
          </c:spPr>
          <c:marker>
            <c:symbol val="none"/>
          </c:marker>
          <c:xVal>
            <c:numRef>
              <c:f>List2!$B$4</c:f>
              <c:numCache>
                <c:formatCode>0.0</c:formatCode>
                <c:ptCount val="1"/>
                <c:pt idx="0">
                  <c:v>0</c:v>
                </c:pt>
              </c:numCache>
            </c:numRef>
          </c:xVal>
          <c:yVal>
            <c:numRef>
              <c:f>List2!$C$4</c:f>
              <c:numCache>
                <c:formatCode>0.00</c:formatCode>
                <c:ptCount val="1"/>
                <c:pt idx="0">
                  <c:v>100</c:v>
                </c:pt>
              </c:numCache>
            </c:numRef>
          </c:yVal>
          <c:smooth val="0"/>
          <c:extLst>
            <c:ext xmlns:c16="http://schemas.microsoft.com/office/drawing/2014/chart" uri="{C3380CC4-5D6E-409C-BE32-E72D297353CC}">
              <c16:uniqueId val="{00000001-93E4-4BE1-A507-02FCDBF4FAD6}"/>
            </c:ext>
          </c:extLst>
        </c:ser>
        <c:dLbls>
          <c:showLegendKey val="0"/>
          <c:showVal val="0"/>
          <c:showCatName val="0"/>
          <c:showSerName val="0"/>
          <c:showPercent val="0"/>
          <c:showBubbleSize val="0"/>
        </c:dLbls>
        <c:axId val="302392488"/>
        <c:axId val="302392880"/>
      </c:scatterChart>
      <c:valAx>
        <c:axId val="302392488"/>
        <c:scaling>
          <c:orientation val="maxMin"/>
          <c:max val="100"/>
        </c:scaling>
        <c:delete val="0"/>
        <c:axPos val="b"/>
        <c:majorGridlines>
          <c:spPr>
            <a:ln w="3175">
              <a:solidFill>
                <a:srgbClr val="808080"/>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Repletness</a:t>
                </a:r>
                <a:r>
                  <a:rPr lang="sk-SK" baseline="0"/>
                  <a:t> of reserved storage capacity </a:t>
                </a:r>
                <a:r>
                  <a:rPr lang="sk-SK"/>
                  <a:t>(%)</a:t>
                </a:r>
              </a:p>
            </c:rich>
          </c:tx>
          <c:layout>
            <c:manualLayout>
              <c:xMode val="edge"/>
              <c:yMode val="edge"/>
              <c:x val="0.38266066601356774"/>
              <c:y val="0.9299436511114076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02392880"/>
        <c:crosses val="autoZero"/>
        <c:crossBetween val="midCat"/>
        <c:majorUnit val="10"/>
        <c:minorUnit val="1"/>
      </c:valAx>
      <c:valAx>
        <c:axId val="302392880"/>
        <c:scaling>
          <c:orientation val="minMax"/>
          <c:max val="119"/>
          <c:min val="0"/>
        </c:scaling>
        <c:delete val="0"/>
        <c:axPos val="l"/>
        <c:majorGridlines>
          <c:spPr>
            <a:ln w="3175">
              <a:solidFill>
                <a:srgbClr val="969696"/>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Maximum withdrawal output  (%)</a:t>
                </a:r>
              </a:p>
            </c:rich>
          </c:tx>
          <c:layout>
            <c:manualLayout>
              <c:xMode val="edge"/>
              <c:yMode val="edge"/>
              <c:x val="0"/>
              <c:y val="0.30324391654433025"/>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02392488"/>
        <c:crosses val="max"/>
        <c:crossBetween val="midCat"/>
        <c:majorUnit val="10"/>
      </c:valAx>
      <c:spPr>
        <a:noFill/>
        <a:ln w="3175">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cs-CZ"/>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Injection Curve</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Available output</a:t>
            </a:r>
          </a:p>
        </c:rich>
      </c:tx>
      <c:layout>
        <c:manualLayout>
          <c:xMode val="edge"/>
          <c:yMode val="edge"/>
          <c:x val="0.36412914290143594"/>
          <c:y val="3.1768924923988005E-4"/>
        </c:manualLayout>
      </c:layout>
      <c:overlay val="0"/>
      <c:spPr>
        <a:noFill/>
        <a:ln w="25400">
          <a:noFill/>
        </a:ln>
      </c:spPr>
    </c:title>
    <c:autoTitleDeleted val="0"/>
    <c:plotArea>
      <c:layout>
        <c:manualLayout>
          <c:layoutTarget val="inner"/>
          <c:xMode val="edge"/>
          <c:yMode val="edge"/>
          <c:x val="8.9347470819634012E-2"/>
          <c:y val="0.14514159585249864"/>
          <c:w val="0.89264596642400829"/>
          <c:h val="0.7389293579948546"/>
        </c:manualLayout>
      </c:layout>
      <c:scatterChart>
        <c:scatterStyle val="lineMarker"/>
        <c:varyColors val="0"/>
        <c:ser>
          <c:idx val="0"/>
          <c:order val="0"/>
          <c:tx>
            <c:v>Withdrawal Profile</c:v>
          </c:tx>
          <c:spPr>
            <a:ln w="38100">
              <a:solidFill>
                <a:srgbClr val="00B050"/>
              </a:solidFill>
              <a:prstDash val="solid"/>
            </a:ln>
          </c:spPr>
          <c:marker>
            <c:symbol val="circle"/>
            <c:size val="6"/>
            <c:spPr>
              <a:solidFill>
                <a:srgbClr val="FFFFFF"/>
              </a:solidFill>
              <a:ln>
                <a:solidFill>
                  <a:srgbClr val="339966"/>
                </a:solidFill>
                <a:prstDash val="solid"/>
              </a:ln>
            </c:spPr>
          </c:marker>
          <c:xVal>
            <c:numRef>
              <c:f>List2!$B$3:$B$4</c:f>
              <c:numCache>
                <c:formatCode>0.0</c:formatCode>
                <c:ptCount val="2"/>
                <c:pt idx="0">
                  <c:v>100</c:v>
                </c:pt>
                <c:pt idx="1">
                  <c:v>0</c:v>
                </c:pt>
              </c:numCache>
            </c:numRef>
          </c:xVal>
          <c:yVal>
            <c:numRef>
              <c:f>List2!$C$3:$C$4</c:f>
              <c:numCache>
                <c:formatCode>0.00</c:formatCode>
                <c:ptCount val="2"/>
                <c:pt idx="0" formatCode="0.0">
                  <c:v>100</c:v>
                </c:pt>
                <c:pt idx="1">
                  <c:v>100</c:v>
                </c:pt>
              </c:numCache>
            </c:numRef>
          </c:yVal>
          <c:smooth val="0"/>
          <c:extLst>
            <c:ext xmlns:c16="http://schemas.microsoft.com/office/drawing/2014/chart" uri="{C3380CC4-5D6E-409C-BE32-E72D297353CC}">
              <c16:uniqueId val="{00000000-9F2A-48B7-A6DA-38FE6038A431}"/>
            </c:ext>
          </c:extLst>
        </c:ser>
        <c:ser>
          <c:idx val="1"/>
          <c:order val="1"/>
          <c:spPr>
            <a:ln w="28575">
              <a:noFill/>
            </a:ln>
          </c:spPr>
          <c:marker>
            <c:symbol val="none"/>
          </c:marker>
          <c:xVal>
            <c:numRef>
              <c:f>List2!$B$4</c:f>
              <c:numCache>
                <c:formatCode>0.0</c:formatCode>
                <c:ptCount val="1"/>
                <c:pt idx="0">
                  <c:v>0</c:v>
                </c:pt>
              </c:numCache>
            </c:numRef>
          </c:xVal>
          <c:yVal>
            <c:numRef>
              <c:f>List2!$C$4</c:f>
              <c:numCache>
                <c:formatCode>0.00</c:formatCode>
                <c:ptCount val="1"/>
                <c:pt idx="0">
                  <c:v>100</c:v>
                </c:pt>
              </c:numCache>
            </c:numRef>
          </c:yVal>
          <c:smooth val="0"/>
          <c:extLst>
            <c:ext xmlns:c16="http://schemas.microsoft.com/office/drawing/2014/chart" uri="{C3380CC4-5D6E-409C-BE32-E72D297353CC}">
              <c16:uniqueId val="{00000001-9F2A-48B7-A6DA-38FE6038A431}"/>
            </c:ext>
          </c:extLst>
        </c:ser>
        <c:dLbls>
          <c:showLegendKey val="0"/>
          <c:showVal val="0"/>
          <c:showCatName val="0"/>
          <c:showSerName val="0"/>
          <c:showPercent val="0"/>
          <c:showBubbleSize val="0"/>
        </c:dLbls>
        <c:axId val="292752672"/>
        <c:axId val="292753064"/>
      </c:scatterChart>
      <c:valAx>
        <c:axId val="292752672"/>
        <c:scaling>
          <c:orientation val="maxMin"/>
          <c:max val="100"/>
        </c:scaling>
        <c:delete val="0"/>
        <c:axPos val="b"/>
        <c:majorGridlines>
          <c:spPr>
            <a:ln w="3175">
              <a:solidFill>
                <a:srgbClr val="808080"/>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Repletness</a:t>
                </a:r>
                <a:r>
                  <a:rPr lang="sk-SK" baseline="0"/>
                  <a:t> of reserved storage capacity </a:t>
                </a:r>
                <a:r>
                  <a:rPr lang="sk-SK"/>
                  <a:t>(%)</a:t>
                </a:r>
              </a:p>
            </c:rich>
          </c:tx>
          <c:layout>
            <c:manualLayout>
              <c:xMode val="edge"/>
              <c:yMode val="edge"/>
              <c:x val="0.38266066601356774"/>
              <c:y val="0.9299436511114076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292753064"/>
        <c:crosses val="autoZero"/>
        <c:crossBetween val="midCat"/>
        <c:majorUnit val="10"/>
        <c:minorUnit val="1"/>
      </c:valAx>
      <c:valAx>
        <c:axId val="292753064"/>
        <c:scaling>
          <c:orientation val="minMax"/>
          <c:max val="119"/>
          <c:min val="0"/>
        </c:scaling>
        <c:delete val="0"/>
        <c:axPos val="l"/>
        <c:majorGridlines>
          <c:spPr>
            <a:ln w="3175">
              <a:solidFill>
                <a:srgbClr val="969696"/>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Maximum injection output  (%)</a:t>
                </a:r>
              </a:p>
            </c:rich>
          </c:tx>
          <c:layout>
            <c:manualLayout>
              <c:xMode val="edge"/>
              <c:yMode val="edge"/>
              <c:x val="0"/>
              <c:y val="0.30324391654433025"/>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292752672"/>
        <c:crosses val="max"/>
        <c:crossBetween val="midCat"/>
        <c:majorUnit val="10"/>
      </c:valAx>
      <c:spPr>
        <a:noFill/>
        <a:ln w="3175">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cs-CZ"/>
    </a:p>
  </c:txPr>
  <c:externalData r:id="rId2">
    <c:autoUpdate val="0"/>
  </c:externalData>
  <c:userShapes r:id="rId3"/>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0.73475</cdr:x>
      <cdr:y>0.4855</cdr:y>
    </cdr:from>
    <cdr:to>
      <cdr:x>0.73475</cdr:x>
      <cdr:y>0.4855</cdr:y>
    </cdr:to>
    <cdr:sp macro="" textlink="">
      <cdr:nvSpPr>
        <cdr:cNvPr id="236545" name="AutoShape 1"/>
        <cdr:cNvSpPr>
          <a:spLocks xmlns:a="http://schemas.openxmlformats.org/drawingml/2006/main" noChangeShapeType="1"/>
        </cdr:cNvSpPr>
      </cdr:nvSpPr>
      <cdr:spPr bwMode="auto">
        <a:xfrm xmlns:a="http://schemas.openxmlformats.org/drawingml/2006/main" rot="5400000" flipV="1">
          <a:off x="7191899" y="3325963"/>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0.01892</cdr:x>
      <cdr:y>0.01056</cdr:y>
    </cdr:from>
    <cdr:to>
      <cdr:x>0.09317</cdr:x>
      <cdr:y>0.04756</cdr:y>
    </cdr:to>
    <cdr:pic>
      <cdr:nvPicPr>
        <cdr:cNvPr id="274515"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71437"/>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0.01892</cdr:x>
      <cdr:y>0.05735</cdr:y>
    </cdr:from>
    <cdr:to>
      <cdr:x>0.12442</cdr:x>
      <cdr:y>0.0821</cdr:y>
    </cdr:to>
    <cdr:pic>
      <cdr:nvPicPr>
        <cdr:cNvPr id="274516"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392906"/>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drawings/drawing2.xml><?xml version="1.0" encoding="utf-8"?>
<c:userShapes xmlns:c="http://schemas.openxmlformats.org/drawingml/2006/chart">
  <cdr:relSizeAnchor xmlns:cdr="http://schemas.openxmlformats.org/drawingml/2006/chartDrawing">
    <cdr:from>
      <cdr:x>0.73475</cdr:x>
      <cdr:y>0.4855</cdr:y>
    </cdr:from>
    <cdr:to>
      <cdr:x>0.73475</cdr:x>
      <cdr:y>0.4855</cdr:y>
    </cdr:to>
    <cdr:sp macro="" textlink="">
      <cdr:nvSpPr>
        <cdr:cNvPr id="236545" name="AutoShape 1"/>
        <cdr:cNvSpPr>
          <a:spLocks xmlns:a="http://schemas.openxmlformats.org/drawingml/2006/main" noChangeShapeType="1"/>
        </cdr:cNvSpPr>
      </cdr:nvSpPr>
      <cdr:spPr bwMode="auto">
        <a:xfrm xmlns:a="http://schemas.openxmlformats.org/drawingml/2006/main" rot="5400000" flipV="1">
          <a:off x="7191899" y="3325963"/>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0.01892</cdr:x>
      <cdr:y>0.01056</cdr:y>
    </cdr:from>
    <cdr:to>
      <cdr:x>0.09317</cdr:x>
      <cdr:y>0.04756</cdr:y>
    </cdr:to>
    <cdr:pic>
      <cdr:nvPicPr>
        <cdr:cNvPr id="274515"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71437"/>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0.01892</cdr:x>
      <cdr:y>0.05735</cdr:y>
    </cdr:from>
    <cdr:to>
      <cdr:x>0.12442</cdr:x>
      <cdr:y>0.0821</cdr:y>
    </cdr:to>
    <cdr:pic>
      <cdr:nvPicPr>
        <cdr:cNvPr id="274516"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392906"/>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8742-CA34-4452-9C04-488CB58B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13124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dc:creator>
  <cp:keywords/>
  <cp:lastModifiedBy>František Půček</cp:lastModifiedBy>
  <cp:revision>2</cp:revision>
  <dcterms:created xsi:type="dcterms:W3CDTF">2016-10-25T18:59:00Z</dcterms:created>
  <dcterms:modified xsi:type="dcterms:W3CDTF">2016-10-25T18:59:00Z</dcterms:modified>
</cp:coreProperties>
</file>