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266" w:rsidRPr="0060046F" w:rsidRDefault="00D932A0" w:rsidP="0060046F">
      <w:pPr>
        <w:tabs>
          <w:tab w:val="left" w:pos="284"/>
        </w:tabs>
        <w:spacing w:line="276" w:lineRule="auto"/>
        <w:jc w:val="center"/>
        <w:rPr>
          <w:rFonts w:asciiTheme="minorHAnsi" w:hAnsiTheme="minorHAnsi"/>
          <w:b/>
          <w:bCs/>
          <w:sz w:val="22"/>
          <w:szCs w:val="22"/>
        </w:rPr>
      </w:pPr>
      <w:r w:rsidRPr="0060046F">
        <w:rPr>
          <w:rFonts w:asciiTheme="minorHAnsi" w:hAnsiTheme="minorHAnsi"/>
          <w:b/>
          <w:bCs/>
          <w:sz w:val="22"/>
          <w:szCs w:val="22"/>
        </w:rPr>
        <w:t xml:space="preserve">Smlouva o uskladňování plynu pro rezervaci </w:t>
      </w:r>
    </w:p>
    <w:p w:rsidR="00D932A0" w:rsidRPr="0060046F" w:rsidRDefault="00D932A0" w:rsidP="0060046F">
      <w:pPr>
        <w:tabs>
          <w:tab w:val="left" w:pos="284"/>
        </w:tabs>
        <w:spacing w:line="276" w:lineRule="auto"/>
        <w:jc w:val="center"/>
        <w:rPr>
          <w:rFonts w:asciiTheme="minorHAnsi" w:hAnsiTheme="minorHAnsi"/>
          <w:b/>
          <w:bCs/>
          <w:sz w:val="22"/>
          <w:szCs w:val="22"/>
        </w:rPr>
      </w:pPr>
      <w:r w:rsidRPr="0060046F">
        <w:rPr>
          <w:rFonts w:asciiTheme="minorHAnsi" w:hAnsiTheme="minorHAnsi"/>
          <w:b/>
          <w:bCs/>
          <w:sz w:val="22"/>
          <w:szCs w:val="22"/>
        </w:rPr>
        <w:t>roční skladovací kapacity s pevným výkonem</w:t>
      </w:r>
      <w:r w:rsidR="0069097F" w:rsidRPr="0060046F">
        <w:rPr>
          <w:rFonts w:asciiTheme="minorHAnsi" w:hAnsiTheme="minorHAnsi"/>
          <w:b/>
          <w:bCs/>
          <w:sz w:val="22"/>
          <w:szCs w:val="22"/>
        </w:rPr>
        <w:t xml:space="preserve"> </w:t>
      </w:r>
      <w:r w:rsidR="004152A8" w:rsidRPr="0060046F">
        <w:rPr>
          <w:rFonts w:asciiTheme="minorHAnsi" w:hAnsiTheme="minorHAnsi"/>
          <w:b/>
          <w:bCs/>
          <w:sz w:val="22"/>
          <w:szCs w:val="22"/>
        </w:rPr>
        <w:t>(vzor)</w:t>
      </w:r>
    </w:p>
    <w:p w:rsidR="00D932A0" w:rsidRPr="0060046F" w:rsidRDefault="00D932A0" w:rsidP="0060046F">
      <w:pPr>
        <w:spacing w:line="276" w:lineRule="auto"/>
        <w:jc w:val="center"/>
        <w:rPr>
          <w:rFonts w:asciiTheme="minorHAnsi" w:hAnsiTheme="minorHAnsi"/>
          <w:b/>
          <w:sz w:val="22"/>
          <w:szCs w:val="22"/>
        </w:rPr>
      </w:pPr>
    </w:p>
    <w:p w:rsidR="00D932A0" w:rsidRPr="0060046F" w:rsidRDefault="00D932A0" w:rsidP="0060046F">
      <w:pPr>
        <w:pStyle w:val="Odstavecseseznamem"/>
        <w:ind w:left="1800"/>
        <w:rPr>
          <w:rFonts w:asciiTheme="minorHAnsi" w:hAnsiTheme="minorHAnsi"/>
          <w:b/>
        </w:rPr>
      </w:pPr>
      <w:r w:rsidRPr="0060046F">
        <w:rPr>
          <w:rFonts w:asciiTheme="minorHAnsi" w:hAnsiTheme="minorHAnsi"/>
          <w:b/>
        </w:rPr>
        <w:t xml:space="preserve">                                   I.</w:t>
      </w:r>
      <w:r w:rsidR="008A6F67" w:rsidRPr="0060046F">
        <w:rPr>
          <w:rFonts w:asciiTheme="minorHAnsi" w:hAnsiTheme="minorHAnsi"/>
          <w:b/>
        </w:rPr>
        <w:t xml:space="preserve"> </w:t>
      </w:r>
      <w:r w:rsidRPr="0060046F">
        <w:rPr>
          <w:rFonts w:asciiTheme="minorHAnsi" w:hAnsiTheme="minorHAnsi"/>
          <w:b/>
        </w:rPr>
        <w:t>Smluvní strany</w:t>
      </w:r>
    </w:p>
    <w:p w:rsidR="00D932A0" w:rsidRPr="0060046F" w:rsidRDefault="00D932A0" w:rsidP="0060046F">
      <w:pPr>
        <w:spacing w:line="276" w:lineRule="auto"/>
        <w:rPr>
          <w:rFonts w:asciiTheme="minorHAnsi" w:hAnsiTheme="minorHAnsi"/>
          <w:b/>
          <w:sz w:val="22"/>
          <w:szCs w:val="22"/>
        </w:rPr>
      </w:pPr>
      <w:r w:rsidRPr="0060046F">
        <w:rPr>
          <w:rFonts w:asciiTheme="minorHAnsi" w:hAnsiTheme="minorHAnsi"/>
          <w:b/>
          <w:sz w:val="22"/>
          <w:szCs w:val="22"/>
        </w:rPr>
        <w:t xml:space="preserve">MND Gas </w:t>
      </w:r>
      <w:proofErr w:type="spellStart"/>
      <w:r w:rsidRPr="0060046F">
        <w:rPr>
          <w:rFonts w:asciiTheme="minorHAnsi" w:hAnsiTheme="minorHAnsi"/>
          <w:b/>
          <w:sz w:val="22"/>
          <w:szCs w:val="22"/>
        </w:rPr>
        <w:t>Storage</w:t>
      </w:r>
      <w:proofErr w:type="spellEnd"/>
      <w:r w:rsidRPr="0060046F">
        <w:rPr>
          <w:rFonts w:asciiTheme="minorHAnsi" w:hAnsiTheme="minorHAnsi"/>
          <w:b/>
          <w:sz w:val="22"/>
          <w:szCs w:val="22"/>
        </w:rPr>
        <w:t xml:space="preserve"> a.s.</w:t>
      </w:r>
    </w:p>
    <w:p w:rsidR="00D932A0" w:rsidRPr="0060046F" w:rsidRDefault="00D932A0" w:rsidP="0060046F">
      <w:pPr>
        <w:tabs>
          <w:tab w:val="left" w:pos="426"/>
        </w:tabs>
        <w:spacing w:line="276" w:lineRule="auto"/>
        <w:rPr>
          <w:rFonts w:asciiTheme="minorHAnsi" w:hAnsiTheme="minorHAnsi"/>
          <w:sz w:val="22"/>
          <w:szCs w:val="22"/>
        </w:rPr>
      </w:pPr>
      <w:r w:rsidRPr="0060046F">
        <w:rPr>
          <w:rFonts w:asciiTheme="minorHAnsi" w:hAnsiTheme="minorHAnsi"/>
          <w:b/>
          <w:sz w:val="22"/>
          <w:szCs w:val="22"/>
        </w:rPr>
        <w:t xml:space="preserve">      </w:t>
      </w:r>
      <w:r w:rsidR="00D50B61" w:rsidRPr="0060046F">
        <w:rPr>
          <w:rFonts w:asciiTheme="minorHAnsi" w:hAnsiTheme="minorHAnsi"/>
          <w:b/>
          <w:sz w:val="22"/>
          <w:szCs w:val="22"/>
        </w:rPr>
        <w:tab/>
      </w:r>
      <w:r w:rsidR="00A33E92" w:rsidRPr="0060046F">
        <w:rPr>
          <w:rFonts w:asciiTheme="minorHAnsi" w:hAnsiTheme="minorHAnsi"/>
          <w:b/>
          <w:sz w:val="22"/>
          <w:szCs w:val="22"/>
        </w:rPr>
        <w:t>s</w:t>
      </w:r>
      <w:r w:rsidRPr="0060046F">
        <w:rPr>
          <w:rFonts w:asciiTheme="minorHAnsi" w:hAnsiTheme="minorHAnsi"/>
          <w:b/>
          <w:sz w:val="22"/>
          <w:szCs w:val="22"/>
        </w:rPr>
        <w:t xml:space="preserve">e sídlem: </w:t>
      </w:r>
      <w:r w:rsidRPr="0060046F">
        <w:rPr>
          <w:rFonts w:asciiTheme="minorHAnsi" w:hAnsiTheme="minorHAnsi"/>
          <w:sz w:val="22"/>
          <w:szCs w:val="22"/>
        </w:rPr>
        <w:t>Úprkova 807/6, 695 01 Hodonín</w:t>
      </w:r>
      <w:r w:rsidR="00A33E92" w:rsidRPr="0060046F">
        <w:rPr>
          <w:rFonts w:asciiTheme="minorHAnsi" w:hAnsiTheme="minorHAnsi"/>
          <w:sz w:val="22"/>
          <w:szCs w:val="22"/>
        </w:rPr>
        <w:t>,</w:t>
      </w:r>
    </w:p>
    <w:p w:rsidR="003B5B2A" w:rsidRPr="0060046F" w:rsidRDefault="00D932A0" w:rsidP="0060046F">
      <w:pPr>
        <w:tabs>
          <w:tab w:val="left" w:pos="426"/>
        </w:tabs>
        <w:spacing w:line="276" w:lineRule="auto"/>
        <w:rPr>
          <w:rFonts w:asciiTheme="minorHAnsi" w:hAnsiTheme="minorHAnsi"/>
          <w:sz w:val="22"/>
          <w:szCs w:val="22"/>
        </w:rPr>
      </w:pPr>
      <w:r w:rsidRPr="0060046F">
        <w:rPr>
          <w:rFonts w:asciiTheme="minorHAnsi" w:hAnsiTheme="minorHAnsi"/>
          <w:sz w:val="22"/>
          <w:szCs w:val="22"/>
        </w:rPr>
        <w:t xml:space="preserve">       </w:t>
      </w:r>
      <w:r w:rsidR="00D50B61" w:rsidRPr="0060046F">
        <w:rPr>
          <w:rFonts w:asciiTheme="minorHAnsi" w:hAnsiTheme="minorHAnsi"/>
          <w:sz w:val="22"/>
          <w:szCs w:val="22"/>
        </w:rPr>
        <w:tab/>
      </w:r>
      <w:r w:rsidR="00A33E92" w:rsidRPr="0060046F">
        <w:rPr>
          <w:rFonts w:asciiTheme="minorHAnsi" w:hAnsiTheme="minorHAnsi"/>
          <w:b/>
          <w:sz w:val="22"/>
          <w:szCs w:val="22"/>
        </w:rPr>
        <w:t>z</w:t>
      </w:r>
      <w:r w:rsidRPr="0060046F">
        <w:rPr>
          <w:rFonts w:asciiTheme="minorHAnsi" w:hAnsiTheme="minorHAnsi"/>
          <w:b/>
          <w:sz w:val="22"/>
          <w:szCs w:val="22"/>
        </w:rPr>
        <w:t>astoupena</w:t>
      </w:r>
      <w:r w:rsidR="000E4188" w:rsidRPr="0060046F">
        <w:rPr>
          <w:rFonts w:asciiTheme="minorHAnsi" w:hAnsiTheme="minorHAnsi"/>
          <w:b/>
          <w:sz w:val="22"/>
          <w:szCs w:val="22"/>
        </w:rPr>
        <w:t xml:space="preserve">: </w:t>
      </w:r>
      <w:r w:rsidR="000E4188" w:rsidRPr="0060046F">
        <w:rPr>
          <w:rFonts w:asciiTheme="minorHAnsi" w:hAnsiTheme="minorHAnsi"/>
          <w:sz w:val="22"/>
          <w:szCs w:val="22"/>
        </w:rPr>
        <w:t xml:space="preserve">Ing. Karlem </w:t>
      </w:r>
      <w:proofErr w:type="spellStart"/>
      <w:r w:rsidR="000E4188" w:rsidRPr="0060046F">
        <w:rPr>
          <w:rFonts w:asciiTheme="minorHAnsi" w:hAnsiTheme="minorHAnsi"/>
          <w:sz w:val="22"/>
          <w:szCs w:val="22"/>
        </w:rPr>
        <w:t>Lunerem</w:t>
      </w:r>
      <w:proofErr w:type="spellEnd"/>
      <w:r w:rsidR="000E4188" w:rsidRPr="0060046F">
        <w:rPr>
          <w:rFonts w:asciiTheme="minorHAnsi" w:hAnsiTheme="minorHAnsi"/>
          <w:sz w:val="22"/>
          <w:szCs w:val="22"/>
        </w:rPr>
        <w:t>, předsedou představenstva,</w:t>
      </w:r>
    </w:p>
    <w:p w:rsidR="000E4188" w:rsidRPr="0060046F" w:rsidRDefault="000E4188" w:rsidP="0060046F">
      <w:pPr>
        <w:tabs>
          <w:tab w:val="left" w:pos="426"/>
        </w:tabs>
        <w:spacing w:line="276" w:lineRule="auto"/>
        <w:rPr>
          <w:rFonts w:asciiTheme="minorHAnsi" w:hAnsiTheme="minorHAnsi"/>
          <w:sz w:val="22"/>
          <w:szCs w:val="22"/>
        </w:rPr>
      </w:pPr>
      <w:r w:rsidRPr="0060046F">
        <w:rPr>
          <w:rFonts w:asciiTheme="minorHAnsi" w:hAnsiTheme="minorHAnsi"/>
          <w:sz w:val="22"/>
          <w:szCs w:val="22"/>
        </w:rPr>
        <w:tab/>
      </w:r>
      <w:r w:rsidRPr="0060046F">
        <w:rPr>
          <w:rFonts w:asciiTheme="minorHAnsi" w:hAnsiTheme="minorHAnsi"/>
          <w:sz w:val="22"/>
          <w:szCs w:val="22"/>
        </w:rPr>
        <w:tab/>
      </w:r>
      <w:r w:rsidRPr="0060046F">
        <w:rPr>
          <w:rFonts w:asciiTheme="minorHAnsi" w:hAnsiTheme="minorHAnsi"/>
          <w:sz w:val="22"/>
          <w:szCs w:val="22"/>
        </w:rPr>
        <w:tab/>
        <w:t xml:space="preserve">   Mgr. Slavomírem </w:t>
      </w:r>
      <w:proofErr w:type="spellStart"/>
      <w:r w:rsidRPr="0060046F">
        <w:rPr>
          <w:rFonts w:asciiTheme="minorHAnsi" w:hAnsiTheme="minorHAnsi"/>
          <w:sz w:val="22"/>
          <w:szCs w:val="22"/>
        </w:rPr>
        <w:t>Hallou</w:t>
      </w:r>
      <w:proofErr w:type="spellEnd"/>
      <w:r w:rsidRPr="0060046F">
        <w:rPr>
          <w:rFonts w:asciiTheme="minorHAnsi" w:hAnsiTheme="minorHAnsi"/>
          <w:sz w:val="22"/>
          <w:szCs w:val="22"/>
        </w:rPr>
        <w:t xml:space="preserve">, </w:t>
      </w:r>
      <w:r w:rsidR="003A32C2" w:rsidRPr="0060046F">
        <w:rPr>
          <w:rFonts w:asciiTheme="minorHAnsi" w:hAnsiTheme="minorHAnsi"/>
          <w:sz w:val="22"/>
          <w:szCs w:val="22"/>
        </w:rPr>
        <w:t xml:space="preserve">Ph.D., </w:t>
      </w:r>
      <w:r w:rsidRPr="0060046F">
        <w:rPr>
          <w:rFonts w:asciiTheme="minorHAnsi" w:hAnsiTheme="minorHAnsi"/>
          <w:sz w:val="22"/>
          <w:szCs w:val="22"/>
        </w:rPr>
        <w:t>místopředsedou představenstva</w:t>
      </w:r>
    </w:p>
    <w:p w:rsidR="00D932A0" w:rsidRPr="0060046F" w:rsidRDefault="00D932A0" w:rsidP="0060046F">
      <w:pPr>
        <w:tabs>
          <w:tab w:val="left" w:pos="426"/>
        </w:tabs>
        <w:spacing w:line="276" w:lineRule="auto"/>
        <w:rPr>
          <w:rFonts w:asciiTheme="minorHAnsi" w:hAnsiTheme="minorHAnsi"/>
          <w:sz w:val="22"/>
          <w:szCs w:val="22"/>
        </w:rPr>
      </w:pPr>
      <w:r w:rsidRPr="0060046F">
        <w:rPr>
          <w:rFonts w:asciiTheme="minorHAnsi" w:hAnsiTheme="minorHAnsi"/>
          <w:sz w:val="22"/>
          <w:szCs w:val="22"/>
        </w:rPr>
        <w:t xml:space="preserve">       </w:t>
      </w:r>
      <w:r w:rsidR="00D50B61" w:rsidRPr="0060046F">
        <w:rPr>
          <w:rFonts w:asciiTheme="minorHAnsi" w:hAnsiTheme="minorHAnsi"/>
          <w:sz w:val="22"/>
          <w:szCs w:val="22"/>
        </w:rPr>
        <w:tab/>
      </w:r>
      <w:r w:rsidRPr="0060046F">
        <w:rPr>
          <w:rFonts w:asciiTheme="minorHAnsi" w:hAnsiTheme="minorHAnsi"/>
          <w:b/>
          <w:sz w:val="22"/>
          <w:szCs w:val="22"/>
        </w:rPr>
        <w:t>I</w:t>
      </w:r>
      <w:r w:rsidR="00D50B61" w:rsidRPr="0060046F">
        <w:rPr>
          <w:rFonts w:asciiTheme="minorHAnsi" w:hAnsiTheme="minorHAnsi"/>
          <w:b/>
          <w:sz w:val="22"/>
          <w:szCs w:val="22"/>
        </w:rPr>
        <w:t>Č</w:t>
      </w:r>
      <w:r w:rsidRPr="0060046F">
        <w:rPr>
          <w:rFonts w:asciiTheme="minorHAnsi" w:hAnsiTheme="minorHAnsi"/>
          <w:b/>
          <w:sz w:val="22"/>
          <w:szCs w:val="22"/>
        </w:rPr>
        <w:t>:</w:t>
      </w:r>
      <w:r w:rsidRPr="0060046F">
        <w:rPr>
          <w:rFonts w:asciiTheme="minorHAnsi" w:hAnsiTheme="minorHAnsi"/>
          <w:sz w:val="22"/>
          <w:szCs w:val="22"/>
        </w:rPr>
        <w:t xml:space="preserve"> 27732894</w:t>
      </w:r>
      <w:r w:rsidR="00A33E92" w:rsidRPr="0060046F">
        <w:rPr>
          <w:rFonts w:asciiTheme="minorHAnsi" w:hAnsiTheme="minorHAnsi"/>
          <w:sz w:val="22"/>
          <w:szCs w:val="22"/>
        </w:rPr>
        <w:t>,</w:t>
      </w:r>
    </w:p>
    <w:p w:rsidR="00D932A0" w:rsidRPr="0060046F" w:rsidRDefault="00D932A0" w:rsidP="0060046F">
      <w:pPr>
        <w:tabs>
          <w:tab w:val="left" w:pos="426"/>
        </w:tabs>
        <w:spacing w:line="276" w:lineRule="auto"/>
        <w:rPr>
          <w:rFonts w:asciiTheme="minorHAnsi" w:hAnsiTheme="minorHAnsi"/>
          <w:sz w:val="22"/>
          <w:szCs w:val="22"/>
        </w:rPr>
      </w:pPr>
      <w:r w:rsidRPr="0060046F">
        <w:rPr>
          <w:rFonts w:asciiTheme="minorHAnsi" w:hAnsiTheme="minorHAnsi"/>
          <w:sz w:val="22"/>
          <w:szCs w:val="22"/>
        </w:rPr>
        <w:t xml:space="preserve">       </w:t>
      </w:r>
      <w:r w:rsidR="00D50B61" w:rsidRPr="0060046F">
        <w:rPr>
          <w:rFonts w:asciiTheme="minorHAnsi" w:hAnsiTheme="minorHAnsi"/>
          <w:sz w:val="22"/>
          <w:szCs w:val="22"/>
        </w:rPr>
        <w:tab/>
      </w:r>
      <w:r w:rsidRPr="0060046F">
        <w:rPr>
          <w:rFonts w:asciiTheme="minorHAnsi" w:hAnsiTheme="minorHAnsi"/>
          <w:b/>
          <w:sz w:val="22"/>
          <w:szCs w:val="22"/>
        </w:rPr>
        <w:t>D</w:t>
      </w:r>
      <w:r w:rsidR="00D50B61" w:rsidRPr="0060046F">
        <w:rPr>
          <w:rFonts w:asciiTheme="minorHAnsi" w:hAnsiTheme="minorHAnsi"/>
          <w:b/>
          <w:sz w:val="22"/>
          <w:szCs w:val="22"/>
        </w:rPr>
        <w:t>IČ</w:t>
      </w:r>
      <w:r w:rsidRPr="0060046F">
        <w:rPr>
          <w:rFonts w:asciiTheme="minorHAnsi" w:hAnsiTheme="minorHAnsi"/>
          <w:b/>
          <w:sz w:val="22"/>
          <w:szCs w:val="22"/>
        </w:rPr>
        <w:t>:</w:t>
      </w:r>
      <w:r w:rsidRPr="0060046F">
        <w:rPr>
          <w:rFonts w:asciiTheme="minorHAnsi" w:hAnsiTheme="minorHAnsi"/>
          <w:sz w:val="22"/>
          <w:szCs w:val="22"/>
        </w:rPr>
        <w:t xml:space="preserve"> CZ27732894</w:t>
      </w:r>
      <w:r w:rsidR="00A33E92" w:rsidRPr="0060046F">
        <w:rPr>
          <w:rFonts w:asciiTheme="minorHAnsi" w:hAnsiTheme="minorHAnsi"/>
          <w:sz w:val="22"/>
          <w:szCs w:val="22"/>
        </w:rPr>
        <w:t>,</w:t>
      </w:r>
    </w:p>
    <w:p w:rsidR="00D932A0" w:rsidRPr="0060046F" w:rsidRDefault="00D932A0" w:rsidP="0060046F">
      <w:pPr>
        <w:tabs>
          <w:tab w:val="left" w:pos="426"/>
        </w:tabs>
        <w:spacing w:line="276" w:lineRule="auto"/>
        <w:rPr>
          <w:rFonts w:asciiTheme="minorHAnsi" w:hAnsiTheme="minorHAnsi"/>
          <w:sz w:val="22"/>
          <w:szCs w:val="22"/>
        </w:rPr>
      </w:pPr>
      <w:r w:rsidRPr="0060046F">
        <w:rPr>
          <w:rFonts w:asciiTheme="minorHAnsi" w:hAnsiTheme="minorHAnsi"/>
          <w:b/>
          <w:sz w:val="22"/>
          <w:szCs w:val="22"/>
        </w:rPr>
        <w:t xml:space="preserve">       </w:t>
      </w:r>
      <w:r w:rsidR="00D50B61" w:rsidRPr="0060046F">
        <w:rPr>
          <w:rFonts w:asciiTheme="minorHAnsi" w:hAnsiTheme="minorHAnsi"/>
          <w:b/>
          <w:sz w:val="22"/>
          <w:szCs w:val="22"/>
        </w:rPr>
        <w:tab/>
      </w:r>
      <w:r w:rsidR="00A33E92" w:rsidRPr="0060046F">
        <w:rPr>
          <w:rFonts w:asciiTheme="minorHAnsi" w:hAnsiTheme="minorHAnsi"/>
          <w:b/>
          <w:sz w:val="22"/>
          <w:szCs w:val="22"/>
        </w:rPr>
        <w:t>b</w:t>
      </w:r>
      <w:r w:rsidRPr="0060046F">
        <w:rPr>
          <w:rFonts w:asciiTheme="minorHAnsi" w:hAnsiTheme="minorHAnsi"/>
          <w:b/>
          <w:sz w:val="22"/>
          <w:szCs w:val="22"/>
        </w:rPr>
        <w:t>ankovní spojení:</w:t>
      </w:r>
      <w:r w:rsidRPr="0060046F">
        <w:rPr>
          <w:rFonts w:asciiTheme="minorHAnsi" w:hAnsiTheme="minorHAnsi"/>
          <w:sz w:val="22"/>
          <w:szCs w:val="22"/>
        </w:rPr>
        <w:t xml:space="preserve"> ČSOB, a.s., pobočka Brno</w:t>
      </w:r>
      <w:r w:rsidR="00A33E92" w:rsidRPr="0060046F">
        <w:rPr>
          <w:rFonts w:asciiTheme="minorHAnsi" w:hAnsiTheme="minorHAnsi"/>
          <w:sz w:val="22"/>
          <w:szCs w:val="22"/>
        </w:rPr>
        <w:t>,</w:t>
      </w:r>
    </w:p>
    <w:p w:rsidR="00D932A0" w:rsidRPr="0060046F" w:rsidRDefault="00D932A0" w:rsidP="0060046F">
      <w:pPr>
        <w:tabs>
          <w:tab w:val="left" w:pos="426"/>
        </w:tabs>
        <w:spacing w:line="276" w:lineRule="auto"/>
        <w:rPr>
          <w:rFonts w:asciiTheme="minorHAnsi" w:hAnsiTheme="minorHAnsi"/>
          <w:sz w:val="22"/>
          <w:szCs w:val="22"/>
        </w:rPr>
      </w:pPr>
      <w:r w:rsidRPr="0060046F">
        <w:rPr>
          <w:rFonts w:asciiTheme="minorHAnsi" w:hAnsiTheme="minorHAnsi"/>
          <w:b/>
          <w:sz w:val="22"/>
          <w:szCs w:val="22"/>
        </w:rPr>
        <w:t xml:space="preserve">        č. účtu</w:t>
      </w:r>
      <w:r w:rsidRPr="0060046F">
        <w:rPr>
          <w:rFonts w:asciiTheme="minorHAnsi" w:hAnsiTheme="minorHAnsi"/>
          <w:sz w:val="22"/>
          <w:szCs w:val="22"/>
        </w:rPr>
        <w:t xml:space="preserve"> – 17402743/0300</w:t>
      </w:r>
      <w:r w:rsidR="00A33E92" w:rsidRPr="0060046F">
        <w:rPr>
          <w:rFonts w:asciiTheme="minorHAnsi" w:hAnsiTheme="minorHAnsi"/>
          <w:sz w:val="22"/>
          <w:szCs w:val="22"/>
        </w:rPr>
        <w:t>,</w:t>
      </w:r>
    </w:p>
    <w:p w:rsidR="00D932A0" w:rsidRPr="0060046F" w:rsidRDefault="00D932A0" w:rsidP="0060046F">
      <w:pPr>
        <w:spacing w:line="276" w:lineRule="auto"/>
        <w:rPr>
          <w:rFonts w:asciiTheme="minorHAnsi" w:hAnsiTheme="minorHAnsi"/>
          <w:sz w:val="22"/>
          <w:szCs w:val="22"/>
        </w:rPr>
      </w:pPr>
      <w:r w:rsidRPr="0060046F">
        <w:rPr>
          <w:rFonts w:asciiTheme="minorHAnsi" w:hAnsiTheme="minorHAnsi"/>
          <w:sz w:val="22"/>
          <w:szCs w:val="22"/>
        </w:rPr>
        <w:t xml:space="preserve">      </w:t>
      </w:r>
      <w:r w:rsidR="00A33E92" w:rsidRPr="0060046F">
        <w:rPr>
          <w:rFonts w:asciiTheme="minorHAnsi" w:hAnsiTheme="minorHAnsi"/>
          <w:sz w:val="22"/>
          <w:szCs w:val="22"/>
        </w:rPr>
        <w:t xml:space="preserve"> </w:t>
      </w:r>
      <w:r w:rsidR="00594B3A" w:rsidRPr="0060046F">
        <w:rPr>
          <w:rFonts w:asciiTheme="minorHAnsi" w:hAnsiTheme="minorHAnsi"/>
          <w:sz w:val="22"/>
          <w:szCs w:val="22"/>
        </w:rPr>
        <w:t xml:space="preserve"> </w:t>
      </w:r>
      <w:r w:rsidR="00A33E92" w:rsidRPr="0060046F">
        <w:rPr>
          <w:rFonts w:asciiTheme="minorHAnsi" w:hAnsiTheme="minorHAnsi"/>
          <w:b/>
          <w:sz w:val="22"/>
          <w:szCs w:val="22"/>
        </w:rPr>
        <w:t>společnost z</w:t>
      </w:r>
      <w:r w:rsidRPr="0060046F">
        <w:rPr>
          <w:rFonts w:asciiTheme="minorHAnsi" w:hAnsiTheme="minorHAnsi"/>
          <w:b/>
          <w:sz w:val="22"/>
          <w:szCs w:val="22"/>
        </w:rPr>
        <w:t>apsána</w:t>
      </w:r>
      <w:r w:rsidRPr="0060046F">
        <w:rPr>
          <w:rFonts w:asciiTheme="minorHAnsi" w:hAnsiTheme="minorHAnsi"/>
          <w:sz w:val="22"/>
          <w:szCs w:val="22"/>
        </w:rPr>
        <w:t xml:space="preserve"> u Krajského soudu v Brně, </w:t>
      </w:r>
      <w:proofErr w:type="spellStart"/>
      <w:r w:rsidR="003A32C2" w:rsidRPr="0060046F">
        <w:rPr>
          <w:rFonts w:asciiTheme="minorHAnsi" w:hAnsiTheme="minorHAnsi"/>
          <w:sz w:val="22"/>
          <w:szCs w:val="22"/>
        </w:rPr>
        <w:t>sp</w:t>
      </w:r>
      <w:proofErr w:type="spellEnd"/>
      <w:r w:rsidR="003A32C2" w:rsidRPr="0060046F">
        <w:rPr>
          <w:rFonts w:asciiTheme="minorHAnsi" w:hAnsiTheme="minorHAnsi"/>
          <w:sz w:val="22"/>
          <w:szCs w:val="22"/>
        </w:rPr>
        <w:t xml:space="preserve">. </w:t>
      </w:r>
      <w:proofErr w:type="gramStart"/>
      <w:r w:rsidR="003A32C2" w:rsidRPr="0060046F">
        <w:rPr>
          <w:rFonts w:asciiTheme="minorHAnsi" w:hAnsiTheme="minorHAnsi"/>
          <w:sz w:val="22"/>
          <w:szCs w:val="22"/>
        </w:rPr>
        <w:t xml:space="preserve">zn. </w:t>
      </w:r>
      <w:r w:rsidR="0003516C" w:rsidRPr="0060046F">
        <w:rPr>
          <w:rFonts w:asciiTheme="minorHAnsi" w:hAnsiTheme="minorHAnsi"/>
          <w:sz w:val="22"/>
          <w:szCs w:val="22"/>
        </w:rPr>
        <w:t>B.4925</w:t>
      </w:r>
      <w:proofErr w:type="gramEnd"/>
    </w:p>
    <w:p w:rsidR="00D932A0" w:rsidRPr="0060046F" w:rsidRDefault="00D932A0" w:rsidP="0060046F">
      <w:pPr>
        <w:spacing w:line="276" w:lineRule="auto"/>
        <w:rPr>
          <w:rFonts w:asciiTheme="minorHAnsi" w:hAnsiTheme="minorHAnsi"/>
          <w:sz w:val="22"/>
          <w:szCs w:val="22"/>
        </w:rPr>
      </w:pPr>
      <w:r w:rsidRPr="0060046F">
        <w:rPr>
          <w:rFonts w:asciiTheme="minorHAnsi" w:hAnsiTheme="minorHAnsi"/>
          <w:sz w:val="22"/>
          <w:szCs w:val="22"/>
        </w:rPr>
        <w:t>(dále také „</w:t>
      </w:r>
      <w:r w:rsidRPr="0060046F">
        <w:rPr>
          <w:rFonts w:asciiTheme="minorHAnsi" w:hAnsiTheme="minorHAnsi"/>
          <w:b/>
          <w:sz w:val="22"/>
          <w:szCs w:val="22"/>
        </w:rPr>
        <w:t>skladovatel</w:t>
      </w:r>
      <w:r w:rsidRPr="0060046F">
        <w:rPr>
          <w:rFonts w:asciiTheme="minorHAnsi" w:hAnsiTheme="minorHAnsi"/>
          <w:sz w:val="22"/>
          <w:szCs w:val="22"/>
        </w:rPr>
        <w:t>“)</w:t>
      </w:r>
      <w:r w:rsidR="00A33E92" w:rsidRPr="0060046F">
        <w:rPr>
          <w:rFonts w:asciiTheme="minorHAnsi" w:hAnsiTheme="minorHAnsi"/>
          <w:sz w:val="22"/>
          <w:szCs w:val="22"/>
        </w:rPr>
        <w:t>;</w:t>
      </w:r>
    </w:p>
    <w:p w:rsidR="00D932A0" w:rsidRPr="0060046F" w:rsidRDefault="00D932A0" w:rsidP="0060046F">
      <w:pPr>
        <w:spacing w:before="120" w:after="120" w:line="276" w:lineRule="auto"/>
        <w:jc w:val="center"/>
        <w:rPr>
          <w:rFonts w:asciiTheme="minorHAnsi" w:hAnsiTheme="minorHAnsi"/>
          <w:b/>
          <w:sz w:val="22"/>
          <w:szCs w:val="22"/>
        </w:rPr>
      </w:pPr>
      <w:r w:rsidRPr="0060046F">
        <w:rPr>
          <w:rFonts w:asciiTheme="minorHAnsi" w:hAnsiTheme="minorHAnsi"/>
          <w:b/>
          <w:sz w:val="22"/>
          <w:szCs w:val="22"/>
        </w:rPr>
        <w:t>a</w:t>
      </w:r>
    </w:p>
    <w:p w:rsidR="00D932A0" w:rsidRPr="0060046F" w:rsidRDefault="0062124A" w:rsidP="0060046F">
      <w:pPr>
        <w:spacing w:line="276" w:lineRule="auto"/>
        <w:rPr>
          <w:rFonts w:asciiTheme="minorHAnsi" w:hAnsiTheme="minorHAnsi"/>
          <w:b/>
          <w:sz w:val="22"/>
          <w:szCs w:val="22"/>
        </w:rPr>
      </w:pPr>
      <w:r w:rsidRPr="0060046F">
        <w:rPr>
          <w:rFonts w:asciiTheme="minorHAnsi" w:hAnsiTheme="minorHAnsi"/>
          <w:b/>
          <w:sz w:val="22"/>
          <w:szCs w:val="22"/>
        </w:rPr>
        <w:t>Obchodní f</w:t>
      </w:r>
      <w:r w:rsidR="0069097F" w:rsidRPr="0060046F">
        <w:rPr>
          <w:rFonts w:asciiTheme="minorHAnsi" w:hAnsiTheme="minorHAnsi"/>
          <w:b/>
          <w:sz w:val="22"/>
          <w:szCs w:val="22"/>
        </w:rPr>
        <w:t>irma</w:t>
      </w:r>
    </w:p>
    <w:p w:rsidR="00D932A0" w:rsidRPr="0060046F" w:rsidRDefault="00D932A0" w:rsidP="0060046F">
      <w:pPr>
        <w:spacing w:line="276" w:lineRule="auto"/>
        <w:rPr>
          <w:rFonts w:asciiTheme="minorHAnsi" w:hAnsiTheme="minorHAnsi"/>
          <w:sz w:val="22"/>
          <w:szCs w:val="22"/>
        </w:rPr>
      </w:pPr>
      <w:r w:rsidRPr="0060046F">
        <w:rPr>
          <w:rFonts w:asciiTheme="minorHAnsi" w:hAnsiTheme="minorHAnsi"/>
          <w:sz w:val="22"/>
          <w:szCs w:val="22"/>
        </w:rPr>
        <w:t xml:space="preserve">       </w:t>
      </w:r>
      <w:r w:rsidR="00A33E92" w:rsidRPr="0060046F">
        <w:rPr>
          <w:rFonts w:asciiTheme="minorHAnsi" w:hAnsiTheme="minorHAnsi"/>
          <w:b/>
          <w:sz w:val="22"/>
          <w:szCs w:val="22"/>
        </w:rPr>
        <w:t>s</w:t>
      </w:r>
      <w:r w:rsidRPr="0060046F">
        <w:rPr>
          <w:rFonts w:asciiTheme="minorHAnsi" w:hAnsiTheme="minorHAnsi"/>
          <w:b/>
          <w:sz w:val="22"/>
          <w:szCs w:val="22"/>
        </w:rPr>
        <w:t>e sídlem:</w:t>
      </w:r>
      <w:r w:rsidRPr="0060046F">
        <w:rPr>
          <w:rFonts w:asciiTheme="minorHAnsi" w:hAnsiTheme="minorHAnsi"/>
          <w:sz w:val="22"/>
          <w:szCs w:val="22"/>
        </w:rPr>
        <w:t xml:space="preserve"> </w:t>
      </w:r>
      <w:r w:rsidR="003A32C2" w:rsidRPr="0060046F">
        <w:rPr>
          <w:rFonts w:asciiTheme="minorHAnsi" w:hAnsiTheme="minorHAnsi"/>
          <w:sz w:val="22"/>
          <w:szCs w:val="22"/>
        </w:rPr>
        <w:t>[</w:t>
      </w:r>
      <w:r w:rsidR="003A32C2" w:rsidRPr="0060046F">
        <w:rPr>
          <w:rFonts w:asciiTheme="minorHAnsi" w:hAnsiTheme="minorHAnsi"/>
          <w:sz w:val="22"/>
          <w:szCs w:val="22"/>
          <w:highlight w:val="yellow"/>
        </w:rPr>
        <w:t>●</w:t>
      </w:r>
      <w:r w:rsidR="003A32C2" w:rsidRPr="0060046F">
        <w:rPr>
          <w:rFonts w:asciiTheme="minorHAnsi" w:hAnsiTheme="minorHAnsi"/>
          <w:sz w:val="22"/>
          <w:szCs w:val="22"/>
        </w:rPr>
        <w:t>]</w:t>
      </w:r>
      <w:r w:rsidR="00A33E92" w:rsidRPr="0060046F">
        <w:rPr>
          <w:rFonts w:asciiTheme="minorHAnsi" w:hAnsiTheme="minorHAnsi"/>
          <w:b/>
          <w:sz w:val="22"/>
          <w:szCs w:val="22"/>
        </w:rPr>
        <w:t>,</w:t>
      </w:r>
    </w:p>
    <w:p w:rsidR="003B5B2A" w:rsidRPr="0060046F" w:rsidRDefault="00D932A0" w:rsidP="0060046F">
      <w:pPr>
        <w:spacing w:line="276" w:lineRule="auto"/>
        <w:rPr>
          <w:rFonts w:asciiTheme="minorHAnsi" w:hAnsiTheme="minorHAnsi"/>
          <w:sz w:val="22"/>
          <w:szCs w:val="22"/>
        </w:rPr>
      </w:pPr>
      <w:r w:rsidRPr="0060046F">
        <w:rPr>
          <w:rFonts w:asciiTheme="minorHAnsi" w:hAnsiTheme="minorHAnsi"/>
          <w:sz w:val="22"/>
          <w:szCs w:val="22"/>
        </w:rPr>
        <w:t xml:space="preserve">       </w:t>
      </w:r>
      <w:r w:rsidR="00A33E92" w:rsidRPr="0060046F">
        <w:rPr>
          <w:rFonts w:asciiTheme="minorHAnsi" w:hAnsiTheme="minorHAnsi"/>
          <w:b/>
          <w:sz w:val="22"/>
          <w:szCs w:val="22"/>
        </w:rPr>
        <w:t>z</w:t>
      </w:r>
      <w:r w:rsidRPr="0060046F">
        <w:rPr>
          <w:rFonts w:asciiTheme="minorHAnsi" w:hAnsiTheme="minorHAnsi"/>
          <w:b/>
          <w:sz w:val="22"/>
          <w:szCs w:val="22"/>
        </w:rPr>
        <w:t>astoupena:</w:t>
      </w:r>
      <w:r w:rsidRPr="0060046F">
        <w:rPr>
          <w:rFonts w:asciiTheme="minorHAnsi" w:hAnsiTheme="minorHAnsi"/>
          <w:sz w:val="22"/>
          <w:szCs w:val="22"/>
        </w:rPr>
        <w:t xml:space="preserve"> </w:t>
      </w:r>
      <w:r w:rsidR="003A32C2" w:rsidRPr="0060046F">
        <w:rPr>
          <w:rFonts w:asciiTheme="minorHAnsi" w:hAnsiTheme="minorHAnsi"/>
          <w:sz w:val="22"/>
          <w:szCs w:val="22"/>
        </w:rPr>
        <w:t>[</w:t>
      </w:r>
      <w:r w:rsidR="003A32C2" w:rsidRPr="0060046F">
        <w:rPr>
          <w:rFonts w:asciiTheme="minorHAnsi" w:hAnsiTheme="minorHAnsi"/>
          <w:sz w:val="22"/>
          <w:szCs w:val="22"/>
          <w:highlight w:val="yellow"/>
        </w:rPr>
        <w:t>●</w:t>
      </w:r>
      <w:r w:rsidR="003A32C2" w:rsidRPr="0060046F">
        <w:rPr>
          <w:rFonts w:asciiTheme="minorHAnsi" w:hAnsiTheme="minorHAnsi"/>
          <w:sz w:val="22"/>
          <w:szCs w:val="22"/>
        </w:rPr>
        <w:t>]</w:t>
      </w:r>
      <w:r w:rsidR="00A33E92" w:rsidRPr="0060046F">
        <w:rPr>
          <w:rFonts w:asciiTheme="minorHAnsi" w:hAnsiTheme="minorHAnsi"/>
          <w:b/>
          <w:sz w:val="22"/>
          <w:szCs w:val="22"/>
        </w:rPr>
        <w:t>,</w:t>
      </w:r>
    </w:p>
    <w:p w:rsidR="00D932A0" w:rsidRPr="0060046F" w:rsidRDefault="00D932A0" w:rsidP="0060046F">
      <w:pPr>
        <w:spacing w:line="276" w:lineRule="auto"/>
        <w:rPr>
          <w:rFonts w:asciiTheme="minorHAnsi" w:hAnsiTheme="minorHAnsi"/>
          <w:sz w:val="22"/>
          <w:szCs w:val="22"/>
        </w:rPr>
      </w:pPr>
      <w:r w:rsidRPr="0060046F">
        <w:rPr>
          <w:rFonts w:asciiTheme="minorHAnsi" w:hAnsiTheme="minorHAnsi"/>
          <w:sz w:val="22"/>
          <w:szCs w:val="22"/>
        </w:rPr>
        <w:t xml:space="preserve">       </w:t>
      </w:r>
      <w:r w:rsidRPr="0060046F">
        <w:rPr>
          <w:rFonts w:asciiTheme="minorHAnsi" w:hAnsiTheme="minorHAnsi"/>
          <w:b/>
          <w:sz w:val="22"/>
          <w:szCs w:val="22"/>
        </w:rPr>
        <w:t>I</w:t>
      </w:r>
      <w:r w:rsidR="0062124A" w:rsidRPr="0060046F">
        <w:rPr>
          <w:rFonts w:asciiTheme="minorHAnsi" w:hAnsiTheme="minorHAnsi"/>
          <w:b/>
          <w:sz w:val="22"/>
          <w:szCs w:val="22"/>
        </w:rPr>
        <w:t>Č</w:t>
      </w:r>
      <w:r w:rsidR="0069097F" w:rsidRPr="0060046F">
        <w:rPr>
          <w:rFonts w:asciiTheme="minorHAnsi" w:hAnsiTheme="minorHAnsi"/>
          <w:sz w:val="22"/>
          <w:szCs w:val="22"/>
        </w:rPr>
        <w:t xml:space="preserve">: </w:t>
      </w:r>
      <w:r w:rsidR="003A32C2" w:rsidRPr="0060046F">
        <w:rPr>
          <w:rFonts w:asciiTheme="minorHAnsi" w:hAnsiTheme="minorHAnsi"/>
          <w:sz w:val="22"/>
          <w:szCs w:val="22"/>
        </w:rPr>
        <w:t>[</w:t>
      </w:r>
      <w:r w:rsidR="003A32C2" w:rsidRPr="0060046F">
        <w:rPr>
          <w:rFonts w:asciiTheme="minorHAnsi" w:hAnsiTheme="minorHAnsi"/>
          <w:sz w:val="22"/>
          <w:szCs w:val="22"/>
          <w:highlight w:val="yellow"/>
        </w:rPr>
        <w:t>●</w:t>
      </w:r>
      <w:r w:rsidR="003A32C2" w:rsidRPr="0060046F">
        <w:rPr>
          <w:rFonts w:asciiTheme="minorHAnsi" w:hAnsiTheme="minorHAnsi"/>
          <w:sz w:val="22"/>
          <w:szCs w:val="22"/>
        </w:rPr>
        <w:t>]</w:t>
      </w:r>
      <w:r w:rsidR="00A33E92" w:rsidRPr="0060046F">
        <w:rPr>
          <w:rFonts w:asciiTheme="minorHAnsi" w:hAnsiTheme="minorHAnsi"/>
          <w:b/>
          <w:sz w:val="22"/>
          <w:szCs w:val="22"/>
        </w:rPr>
        <w:t>,</w:t>
      </w:r>
    </w:p>
    <w:p w:rsidR="0069097F" w:rsidRPr="0060046F" w:rsidRDefault="00D932A0" w:rsidP="0060046F">
      <w:pPr>
        <w:spacing w:line="276" w:lineRule="auto"/>
        <w:rPr>
          <w:rFonts w:asciiTheme="minorHAnsi" w:hAnsiTheme="minorHAnsi"/>
          <w:b/>
          <w:sz w:val="22"/>
          <w:szCs w:val="22"/>
        </w:rPr>
      </w:pPr>
      <w:r w:rsidRPr="0060046F">
        <w:rPr>
          <w:rFonts w:asciiTheme="minorHAnsi" w:hAnsiTheme="minorHAnsi"/>
          <w:sz w:val="22"/>
          <w:szCs w:val="22"/>
        </w:rPr>
        <w:t xml:space="preserve">       </w:t>
      </w:r>
      <w:r w:rsidR="0062124A" w:rsidRPr="0060046F">
        <w:rPr>
          <w:rFonts w:asciiTheme="minorHAnsi" w:hAnsiTheme="minorHAnsi"/>
          <w:b/>
          <w:sz w:val="22"/>
          <w:szCs w:val="22"/>
        </w:rPr>
        <w:t>DIČ</w:t>
      </w:r>
      <w:r w:rsidRPr="0060046F">
        <w:rPr>
          <w:rFonts w:asciiTheme="minorHAnsi" w:hAnsiTheme="minorHAnsi"/>
          <w:b/>
          <w:sz w:val="22"/>
          <w:szCs w:val="22"/>
        </w:rPr>
        <w:t>:</w:t>
      </w:r>
      <w:r w:rsidR="00A33E92" w:rsidRPr="0060046F">
        <w:rPr>
          <w:rFonts w:asciiTheme="minorHAnsi" w:hAnsiTheme="minorHAnsi"/>
          <w:b/>
          <w:sz w:val="22"/>
          <w:szCs w:val="22"/>
        </w:rPr>
        <w:t xml:space="preserve"> </w:t>
      </w:r>
      <w:r w:rsidR="003A32C2" w:rsidRPr="0060046F">
        <w:rPr>
          <w:rFonts w:asciiTheme="minorHAnsi" w:hAnsiTheme="minorHAnsi"/>
          <w:sz w:val="22"/>
          <w:szCs w:val="22"/>
        </w:rPr>
        <w:t>[</w:t>
      </w:r>
      <w:r w:rsidR="003A32C2" w:rsidRPr="0060046F">
        <w:rPr>
          <w:rFonts w:asciiTheme="minorHAnsi" w:hAnsiTheme="minorHAnsi"/>
          <w:sz w:val="22"/>
          <w:szCs w:val="22"/>
          <w:highlight w:val="yellow"/>
        </w:rPr>
        <w:t>●</w:t>
      </w:r>
      <w:r w:rsidR="003A32C2" w:rsidRPr="0060046F">
        <w:rPr>
          <w:rFonts w:asciiTheme="minorHAnsi" w:hAnsiTheme="minorHAnsi"/>
          <w:sz w:val="22"/>
          <w:szCs w:val="22"/>
        </w:rPr>
        <w:t>]</w:t>
      </w:r>
      <w:r w:rsidR="00A33E92" w:rsidRPr="0060046F">
        <w:rPr>
          <w:rFonts w:asciiTheme="minorHAnsi" w:hAnsiTheme="minorHAnsi"/>
          <w:b/>
          <w:sz w:val="22"/>
          <w:szCs w:val="22"/>
        </w:rPr>
        <w:t>,</w:t>
      </w:r>
    </w:p>
    <w:p w:rsidR="00D932A0" w:rsidRPr="0060046F" w:rsidRDefault="00D932A0" w:rsidP="0060046F">
      <w:pPr>
        <w:spacing w:line="276" w:lineRule="auto"/>
        <w:rPr>
          <w:rFonts w:asciiTheme="minorHAnsi" w:hAnsiTheme="minorHAnsi"/>
          <w:sz w:val="22"/>
          <w:szCs w:val="22"/>
        </w:rPr>
      </w:pPr>
      <w:r w:rsidRPr="0060046F">
        <w:rPr>
          <w:rFonts w:asciiTheme="minorHAnsi" w:hAnsiTheme="minorHAnsi"/>
          <w:sz w:val="22"/>
          <w:szCs w:val="22"/>
        </w:rPr>
        <w:t xml:space="preserve">       </w:t>
      </w:r>
      <w:r w:rsidR="00A33E92" w:rsidRPr="0060046F">
        <w:rPr>
          <w:rFonts w:asciiTheme="minorHAnsi" w:hAnsiTheme="minorHAnsi"/>
          <w:b/>
          <w:sz w:val="22"/>
          <w:szCs w:val="22"/>
        </w:rPr>
        <w:t>b</w:t>
      </w:r>
      <w:r w:rsidRPr="0060046F">
        <w:rPr>
          <w:rFonts w:asciiTheme="minorHAnsi" w:hAnsiTheme="minorHAnsi"/>
          <w:b/>
          <w:sz w:val="22"/>
          <w:szCs w:val="22"/>
        </w:rPr>
        <w:t>ankovní spojení:</w:t>
      </w:r>
      <w:r w:rsidRPr="0060046F">
        <w:rPr>
          <w:rFonts w:asciiTheme="minorHAnsi" w:hAnsiTheme="minorHAnsi"/>
          <w:sz w:val="22"/>
          <w:szCs w:val="22"/>
        </w:rPr>
        <w:t xml:space="preserve"> </w:t>
      </w:r>
      <w:r w:rsidR="003A32C2" w:rsidRPr="0060046F">
        <w:rPr>
          <w:rFonts w:asciiTheme="minorHAnsi" w:hAnsiTheme="minorHAnsi"/>
          <w:sz w:val="22"/>
          <w:szCs w:val="22"/>
        </w:rPr>
        <w:t>[</w:t>
      </w:r>
      <w:r w:rsidR="003A32C2" w:rsidRPr="0060046F">
        <w:rPr>
          <w:rFonts w:asciiTheme="minorHAnsi" w:hAnsiTheme="minorHAnsi"/>
          <w:sz w:val="22"/>
          <w:szCs w:val="22"/>
          <w:highlight w:val="yellow"/>
        </w:rPr>
        <w:t>●</w:t>
      </w:r>
      <w:r w:rsidR="003A32C2" w:rsidRPr="0060046F">
        <w:rPr>
          <w:rFonts w:asciiTheme="minorHAnsi" w:hAnsiTheme="minorHAnsi"/>
          <w:sz w:val="22"/>
          <w:szCs w:val="22"/>
        </w:rPr>
        <w:t>]</w:t>
      </w:r>
      <w:r w:rsidR="00A33E92" w:rsidRPr="0060046F">
        <w:rPr>
          <w:rFonts w:asciiTheme="minorHAnsi" w:hAnsiTheme="minorHAnsi"/>
          <w:b/>
          <w:sz w:val="22"/>
          <w:szCs w:val="22"/>
        </w:rPr>
        <w:t>,</w:t>
      </w:r>
    </w:p>
    <w:p w:rsidR="00D932A0" w:rsidRPr="0060046F" w:rsidRDefault="00D932A0" w:rsidP="0060046F">
      <w:pPr>
        <w:spacing w:line="276" w:lineRule="auto"/>
        <w:rPr>
          <w:rFonts w:asciiTheme="minorHAnsi" w:hAnsiTheme="minorHAnsi"/>
          <w:sz w:val="22"/>
          <w:szCs w:val="22"/>
        </w:rPr>
      </w:pPr>
      <w:r w:rsidRPr="0060046F">
        <w:rPr>
          <w:rFonts w:asciiTheme="minorHAnsi" w:hAnsiTheme="minorHAnsi"/>
          <w:sz w:val="22"/>
          <w:szCs w:val="22"/>
        </w:rPr>
        <w:t xml:space="preserve">       </w:t>
      </w:r>
      <w:r w:rsidRPr="0060046F">
        <w:rPr>
          <w:rFonts w:asciiTheme="minorHAnsi" w:hAnsiTheme="minorHAnsi"/>
          <w:b/>
          <w:sz w:val="22"/>
          <w:szCs w:val="22"/>
        </w:rPr>
        <w:t>č. účtu</w:t>
      </w:r>
      <w:r w:rsidR="0069097F" w:rsidRPr="0060046F">
        <w:rPr>
          <w:rFonts w:asciiTheme="minorHAnsi" w:hAnsiTheme="minorHAnsi"/>
          <w:sz w:val="22"/>
          <w:szCs w:val="22"/>
        </w:rPr>
        <w:t xml:space="preserve"> – </w:t>
      </w:r>
      <w:r w:rsidR="003A32C2" w:rsidRPr="0060046F">
        <w:rPr>
          <w:rFonts w:asciiTheme="minorHAnsi" w:hAnsiTheme="minorHAnsi"/>
          <w:sz w:val="22"/>
          <w:szCs w:val="22"/>
        </w:rPr>
        <w:t>[</w:t>
      </w:r>
      <w:r w:rsidR="003A32C2" w:rsidRPr="0060046F">
        <w:rPr>
          <w:rFonts w:asciiTheme="minorHAnsi" w:hAnsiTheme="minorHAnsi"/>
          <w:sz w:val="22"/>
          <w:szCs w:val="22"/>
          <w:highlight w:val="yellow"/>
        </w:rPr>
        <w:t>●</w:t>
      </w:r>
      <w:r w:rsidR="003A32C2" w:rsidRPr="0060046F">
        <w:rPr>
          <w:rFonts w:asciiTheme="minorHAnsi" w:hAnsiTheme="minorHAnsi"/>
          <w:sz w:val="22"/>
          <w:szCs w:val="22"/>
        </w:rPr>
        <w:t>]</w:t>
      </w:r>
      <w:r w:rsidR="00A33E92" w:rsidRPr="0060046F">
        <w:rPr>
          <w:rFonts w:asciiTheme="minorHAnsi" w:hAnsiTheme="minorHAnsi"/>
          <w:b/>
          <w:sz w:val="22"/>
          <w:szCs w:val="22"/>
        </w:rPr>
        <w:t>,</w:t>
      </w:r>
    </w:p>
    <w:p w:rsidR="00D932A0" w:rsidRPr="0060046F" w:rsidRDefault="00D932A0" w:rsidP="0060046F">
      <w:pPr>
        <w:spacing w:line="276" w:lineRule="auto"/>
        <w:rPr>
          <w:rFonts w:asciiTheme="minorHAnsi" w:hAnsiTheme="minorHAnsi"/>
          <w:sz w:val="22"/>
          <w:szCs w:val="22"/>
        </w:rPr>
      </w:pPr>
      <w:r w:rsidRPr="0060046F">
        <w:rPr>
          <w:rFonts w:asciiTheme="minorHAnsi" w:hAnsiTheme="minorHAnsi"/>
          <w:sz w:val="22"/>
          <w:szCs w:val="22"/>
        </w:rPr>
        <w:t xml:space="preserve">      </w:t>
      </w:r>
      <w:r w:rsidR="00594B3A" w:rsidRPr="0060046F">
        <w:rPr>
          <w:rFonts w:asciiTheme="minorHAnsi" w:hAnsiTheme="minorHAnsi"/>
          <w:sz w:val="22"/>
          <w:szCs w:val="22"/>
        </w:rPr>
        <w:t xml:space="preserve"> </w:t>
      </w:r>
      <w:r w:rsidR="00594B3A" w:rsidRPr="0060046F">
        <w:rPr>
          <w:rFonts w:asciiTheme="minorHAnsi" w:hAnsiTheme="minorHAnsi"/>
          <w:b/>
          <w:sz w:val="22"/>
          <w:szCs w:val="22"/>
        </w:rPr>
        <w:t>s</w:t>
      </w:r>
      <w:r w:rsidR="00A33E92" w:rsidRPr="0060046F">
        <w:rPr>
          <w:rFonts w:asciiTheme="minorHAnsi" w:hAnsiTheme="minorHAnsi"/>
          <w:b/>
          <w:sz w:val="22"/>
          <w:szCs w:val="22"/>
        </w:rPr>
        <w:t>polečnost z</w:t>
      </w:r>
      <w:r w:rsidRPr="0060046F">
        <w:rPr>
          <w:rFonts w:asciiTheme="minorHAnsi" w:hAnsiTheme="minorHAnsi"/>
          <w:b/>
          <w:sz w:val="22"/>
          <w:szCs w:val="22"/>
        </w:rPr>
        <w:t>apsána</w:t>
      </w:r>
      <w:r w:rsidRPr="0060046F">
        <w:rPr>
          <w:rFonts w:asciiTheme="minorHAnsi" w:hAnsiTheme="minorHAnsi"/>
          <w:sz w:val="22"/>
          <w:szCs w:val="22"/>
        </w:rPr>
        <w:t xml:space="preserve"> u</w:t>
      </w:r>
      <w:r w:rsidR="00A33E92" w:rsidRPr="0060046F">
        <w:rPr>
          <w:rFonts w:asciiTheme="minorHAnsi" w:hAnsiTheme="minorHAnsi"/>
          <w:sz w:val="22"/>
          <w:szCs w:val="22"/>
        </w:rPr>
        <w:t xml:space="preserve"> </w:t>
      </w:r>
      <w:r w:rsidR="003A32C2" w:rsidRPr="0060046F">
        <w:rPr>
          <w:rFonts w:asciiTheme="minorHAnsi" w:hAnsiTheme="minorHAnsi"/>
          <w:sz w:val="22"/>
          <w:szCs w:val="22"/>
        </w:rPr>
        <w:t>[</w:t>
      </w:r>
      <w:r w:rsidR="003A32C2" w:rsidRPr="0060046F">
        <w:rPr>
          <w:rFonts w:asciiTheme="minorHAnsi" w:hAnsiTheme="minorHAnsi"/>
          <w:sz w:val="22"/>
          <w:szCs w:val="22"/>
          <w:highlight w:val="yellow"/>
        </w:rPr>
        <w:t>●</w:t>
      </w:r>
      <w:r w:rsidR="003A32C2" w:rsidRPr="0060046F">
        <w:rPr>
          <w:rFonts w:asciiTheme="minorHAnsi" w:hAnsiTheme="minorHAnsi"/>
          <w:sz w:val="22"/>
          <w:szCs w:val="22"/>
        </w:rPr>
        <w:t>]</w:t>
      </w:r>
      <w:r w:rsidR="0069097F" w:rsidRPr="0060046F">
        <w:rPr>
          <w:rFonts w:asciiTheme="minorHAnsi" w:hAnsiTheme="minorHAnsi"/>
          <w:sz w:val="22"/>
          <w:szCs w:val="22"/>
        </w:rPr>
        <w:t xml:space="preserve">, </w:t>
      </w:r>
      <w:proofErr w:type="spellStart"/>
      <w:r w:rsidR="003A32C2" w:rsidRPr="0060046F">
        <w:rPr>
          <w:rFonts w:asciiTheme="minorHAnsi" w:hAnsiTheme="minorHAnsi"/>
          <w:sz w:val="22"/>
          <w:szCs w:val="22"/>
        </w:rPr>
        <w:t>sp</w:t>
      </w:r>
      <w:proofErr w:type="spellEnd"/>
      <w:r w:rsidR="003A32C2" w:rsidRPr="0060046F">
        <w:rPr>
          <w:rFonts w:asciiTheme="minorHAnsi" w:hAnsiTheme="minorHAnsi"/>
          <w:sz w:val="22"/>
          <w:szCs w:val="22"/>
        </w:rPr>
        <w:t>. zn. [</w:t>
      </w:r>
      <w:r w:rsidR="003A32C2" w:rsidRPr="0060046F">
        <w:rPr>
          <w:rFonts w:asciiTheme="minorHAnsi" w:hAnsiTheme="minorHAnsi"/>
          <w:sz w:val="22"/>
          <w:szCs w:val="22"/>
          <w:highlight w:val="yellow"/>
        </w:rPr>
        <w:t>●</w:t>
      </w:r>
      <w:r w:rsidR="003A32C2" w:rsidRPr="0060046F">
        <w:rPr>
          <w:rFonts w:asciiTheme="minorHAnsi" w:hAnsiTheme="minorHAnsi"/>
          <w:sz w:val="22"/>
          <w:szCs w:val="22"/>
        </w:rPr>
        <w:t>]</w:t>
      </w:r>
    </w:p>
    <w:p w:rsidR="00D932A0" w:rsidRPr="0060046F" w:rsidRDefault="00D932A0" w:rsidP="0060046F">
      <w:pPr>
        <w:spacing w:line="276" w:lineRule="auto"/>
        <w:rPr>
          <w:rFonts w:asciiTheme="minorHAnsi" w:hAnsiTheme="minorHAnsi"/>
          <w:sz w:val="22"/>
          <w:szCs w:val="22"/>
        </w:rPr>
      </w:pPr>
      <w:r w:rsidRPr="0060046F">
        <w:rPr>
          <w:rFonts w:asciiTheme="minorHAnsi" w:hAnsiTheme="minorHAnsi"/>
          <w:sz w:val="22"/>
          <w:szCs w:val="22"/>
        </w:rPr>
        <w:t>(dále také „</w:t>
      </w:r>
      <w:r w:rsidRPr="0060046F">
        <w:rPr>
          <w:rFonts w:asciiTheme="minorHAnsi" w:hAnsiTheme="minorHAnsi"/>
          <w:b/>
          <w:sz w:val="22"/>
          <w:szCs w:val="22"/>
        </w:rPr>
        <w:t>ukladatel</w:t>
      </w:r>
      <w:r w:rsidRPr="0060046F">
        <w:rPr>
          <w:rFonts w:asciiTheme="minorHAnsi" w:hAnsiTheme="minorHAnsi"/>
          <w:sz w:val="22"/>
          <w:szCs w:val="22"/>
        </w:rPr>
        <w:t>“)</w:t>
      </w:r>
      <w:r w:rsidR="00A33E92" w:rsidRPr="0060046F">
        <w:rPr>
          <w:rFonts w:asciiTheme="minorHAnsi" w:hAnsiTheme="minorHAnsi"/>
          <w:sz w:val="22"/>
          <w:szCs w:val="22"/>
        </w:rPr>
        <w:t>;</w:t>
      </w:r>
    </w:p>
    <w:p w:rsidR="00D932A0" w:rsidRPr="0060046F" w:rsidRDefault="00594B3A" w:rsidP="0060046F">
      <w:pPr>
        <w:pStyle w:val="Zkladntextodsazen"/>
        <w:spacing w:line="276" w:lineRule="auto"/>
        <w:ind w:left="0"/>
        <w:rPr>
          <w:rFonts w:asciiTheme="minorHAnsi" w:hAnsiTheme="minorHAnsi"/>
          <w:color w:val="000000"/>
          <w:szCs w:val="22"/>
        </w:rPr>
      </w:pPr>
      <w:r w:rsidRPr="0060046F">
        <w:rPr>
          <w:rFonts w:asciiTheme="minorHAnsi" w:hAnsiTheme="minorHAnsi"/>
          <w:b/>
          <w:color w:val="000000"/>
          <w:szCs w:val="22"/>
        </w:rPr>
        <w:t>u</w:t>
      </w:r>
      <w:r w:rsidR="000E4188" w:rsidRPr="0060046F">
        <w:rPr>
          <w:rFonts w:asciiTheme="minorHAnsi" w:hAnsiTheme="minorHAnsi"/>
          <w:b/>
          <w:color w:val="000000"/>
          <w:szCs w:val="22"/>
        </w:rPr>
        <w:t xml:space="preserve">zavírají podle zákona </w:t>
      </w:r>
      <w:r w:rsidR="00D932A0" w:rsidRPr="0060046F">
        <w:rPr>
          <w:rFonts w:asciiTheme="minorHAnsi" w:hAnsiTheme="minorHAnsi"/>
          <w:b/>
          <w:color w:val="000000"/>
          <w:szCs w:val="22"/>
        </w:rPr>
        <w:t>č. 458/2000 Sb. (</w:t>
      </w:r>
      <w:r w:rsidR="000E4188" w:rsidRPr="0060046F">
        <w:rPr>
          <w:rFonts w:asciiTheme="minorHAnsi" w:hAnsiTheme="minorHAnsi"/>
          <w:b/>
          <w:color w:val="000000"/>
          <w:szCs w:val="22"/>
        </w:rPr>
        <w:t>dále také „</w:t>
      </w:r>
      <w:r w:rsidR="00D932A0" w:rsidRPr="0060046F">
        <w:rPr>
          <w:rFonts w:asciiTheme="minorHAnsi" w:hAnsiTheme="minorHAnsi"/>
          <w:b/>
          <w:color w:val="000000"/>
          <w:szCs w:val="22"/>
        </w:rPr>
        <w:t>energetický zákon</w:t>
      </w:r>
      <w:r w:rsidR="000E4188" w:rsidRPr="0060046F">
        <w:rPr>
          <w:rFonts w:asciiTheme="minorHAnsi" w:hAnsiTheme="minorHAnsi"/>
          <w:b/>
          <w:color w:val="000000"/>
          <w:szCs w:val="22"/>
        </w:rPr>
        <w:t>“</w:t>
      </w:r>
      <w:r w:rsidR="00D932A0" w:rsidRPr="0060046F">
        <w:rPr>
          <w:rFonts w:asciiTheme="minorHAnsi" w:hAnsiTheme="minorHAnsi"/>
          <w:b/>
          <w:color w:val="000000"/>
          <w:szCs w:val="22"/>
        </w:rPr>
        <w:t xml:space="preserve">) a příslušných prováděcích předpisů k energetickému zákonu, vše v platném a účinném znění, tuto </w:t>
      </w:r>
      <w:r w:rsidRPr="0060046F">
        <w:rPr>
          <w:rFonts w:asciiTheme="minorHAnsi" w:hAnsiTheme="minorHAnsi"/>
          <w:b/>
          <w:color w:val="000000"/>
          <w:szCs w:val="22"/>
        </w:rPr>
        <w:t>s</w:t>
      </w:r>
      <w:r w:rsidR="00D932A0" w:rsidRPr="0060046F">
        <w:rPr>
          <w:rFonts w:asciiTheme="minorHAnsi" w:hAnsiTheme="minorHAnsi"/>
          <w:b/>
          <w:color w:val="000000"/>
          <w:szCs w:val="22"/>
        </w:rPr>
        <w:t>mlouvu o uskladňování plynu pro rezervaci roční skladovací kapacity s pevným výkonem</w:t>
      </w:r>
      <w:r w:rsidR="0069097F" w:rsidRPr="0060046F">
        <w:rPr>
          <w:rFonts w:asciiTheme="minorHAnsi" w:hAnsiTheme="minorHAnsi"/>
          <w:b/>
          <w:color w:val="000000"/>
          <w:szCs w:val="22"/>
        </w:rPr>
        <w:t xml:space="preserve"> na </w:t>
      </w:r>
      <w:r w:rsidR="009C5EB4" w:rsidRPr="0060046F">
        <w:rPr>
          <w:rFonts w:asciiTheme="minorHAnsi" w:hAnsiTheme="minorHAnsi"/>
          <w:b/>
          <w:color w:val="000000"/>
          <w:szCs w:val="22"/>
        </w:rPr>
        <w:t xml:space="preserve">zbývající novou </w:t>
      </w:r>
      <w:r w:rsidR="0069097F" w:rsidRPr="0060046F">
        <w:rPr>
          <w:rFonts w:asciiTheme="minorHAnsi" w:hAnsiTheme="minorHAnsi"/>
          <w:b/>
          <w:color w:val="000000"/>
          <w:szCs w:val="22"/>
        </w:rPr>
        <w:t>skladovací kapacitu</w:t>
      </w:r>
      <w:r w:rsidR="00D932A0" w:rsidRPr="0060046F">
        <w:rPr>
          <w:rFonts w:asciiTheme="minorHAnsi" w:hAnsiTheme="minorHAnsi"/>
          <w:b/>
          <w:color w:val="000000"/>
          <w:szCs w:val="22"/>
        </w:rPr>
        <w:t xml:space="preserve"> (dále jen „Smlouva“)</w:t>
      </w:r>
    </w:p>
    <w:p w:rsidR="00D932A0" w:rsidRPr="0060046F" w:rsidRDefault="00D932A0" w:rsidP="0060046F">
      <w:pPr>
        <w:spacing w:before="240" w:line="276" w:lineRule="auto"/>
        <w:ind w:left="426" w:hanging="426"/>
        <w:jc w:val="center"/>
        <w:rPr>
          <w:rFonts w:asciiTheme="minorHAnsi" w:hAnsiTheme="minorHAnsi"/>
          <w:b/>
          <w:sz w:val="22"/>
          <w:szCs w:val="22"/>
        </w:rPr>
      </w:pPr>
      <w:r w:rsidRPr="0060046F">
        <w:rPr>
          <w:rFonts w:asciiTheme="minorHAnsi" w:hAnsiTheme="minorHAnsi"/>
          <w:b/>
          <w:sz w:val="22"/>
          <w:szCs w:val="22"/>
        </w:rPr>
        <w:t>II. Předmět smlouvy</w:t>
      </w:r>
    </w:p>
    <w:p w:rsidR="00D932A0" w:rsidRPr="00B10B5D" w:rsidRDefault="00D932A0" w:rsidP="0060046F">
      <w:pPr>
        <w:widowControl/>
        <w:numPr>
          <w:ilvl w:val="0"/>
          <w:numId w:val="5"/>
        </w:numPr>
        <w:tabs>
          <w:tab w:val="clear" w:pos="720"/>
        </w:tabs>
        <w:overflowPunct/>
        <w:autoSpaceDE/>
        <w:autoSpaceDN/>
        <w:adjustRightInd/>
        <w:spacing w:before="60" w:after="60" w:line="276" w:lineRule="auto"/>
        <w:ind w:left="426" w:hanging="426"/>
        <w:textAlignment w:val="auto"/>
        <w:rPr>
          <w:rFonts w:asciiTheme="minorHAnsi" w:hAnsiTheme="minorHAnsi"/>
          <w:sz w:val="22"/>
          <w:szCs w:val="22"/>
        </w:rPr>
      </w:pPr>
      <w:r w:rsidRPr="00B10B5D">
        <w:rPr>
          <w:rFonts w:asciiTheme="minorHAnsi" w:hAnsiTheme="minorHAnsi"/>
          <w:sz w:val="22"/>
          <w:szCs w:val="22"/>
        </w:rPr>
        <w:t xml:space="preserve">Předmětem této </w:t>
      </w:r>
      <w:r w:rsidR="00594B3A" w:rsidRPr="00B10B5D">
        <w:rPr>
          <w:rFonts w:asciiTheme="minorHAnsi" w:hAnsiTheme="minorHAnsi"/>
          <w:sz w:val="22"/>
          <w:szCs w:val="22"/>
        </w:rPr>
        <w:t>S</w:t>
      </w:r>
      <w:r w:rsidRPr="00B10B5D">
        <w:rPr>
          <w:rFonts w:asciiTheme="minorHAnsi" w:hAnsiTheme="minorHAnsi"/>
          <w:sz w:val="22"/>
          <w:szCs w:val="22"/>
        </w:rPr>
        <w:t xml:space="preserve">mlouvy je v souladu s Řádem provozovatele zásobníku plynu skladovatele (dále jen „Řád“) závazek: </w:t>
      </w:r>
    </w:p>
    <w:p w:rsidR="00D932A0" w:rsidRPr="00B10B5D" w:rsidRDefault="00D932A0" w:rsidP="0060046F">
      <w:pPr>
        <w:widowControl/>
        <w:numPr>
          <w:ilvl w:val="0"/>
          <w:numId w:val="6"/>
        </w:numPr>
        <w:tabs>
          <w:tab w:val="clear" w:pos="283"/>
        </w:tabs>
        <w:overflowPunct/>
        <w:autoSpaceDE/>
        <w:autoSpaceDN/>
        <w:adjustRightInd/>
        <w:spacing w:before="60" w:after="60" w:line="276" w:lineRule="auto"/>
        <w:ind w:left="851" w:hanging="284"/>
        <w:textAlignment w:val="auto"/>
        <w:rPr>
          <w:rFonts w:asciiTheme="minorHAnsi" w:hAnsiTheme="minorHAnsi"/>
          <w:sz w:val="22"/>
          <w:szCs w:val="22"/>
        </w:rPr>
      </w:pPr>
      <w:r w:rsidRPr="00B10B5D">
        <w:rPr>
          <w:rFonts w:asciiTheme="minorHAnsi" w:hAnsiTheme="minorHAnsi"/>
          <w:sz w:val="22"/>
          <w:szCs w:val="22"/>
        </w:rPr>
        <w:t>Skladovatele poskytnout řádně ukladateli službu usklad</w:t>
      </w:r>
      <w:r w:rsidR="00ED2397" w:rsidRPr="00B10B5D">
        <w:rPr>
          <w:rFonts w:asciiTheme="minorHAnsi" w:hAnsiTheme="minorHAnsi"/>
          <w:sz w:val="22"/>
          <w:szCs w:val="22"/>
        </w:rPr>
        <w:t>ňová</w:t>
      </w:r>
      <w:r w:rsidRPr="00B10B5D">
        <w:rPr>
          <w:rFonts w:asciiTheme="minorHAnsi" w:hAnsiTheme="minorHAnsi"/>
          <w:sz w:val="22"/>
          <w:szCs w:val="22"/>
        </w:rPr>
        <w:t>ní plynu</w:t>
      </w:r>
      <w:r w:rsidR="00A878AC">
        <w:rPr>
          <w:rFonts w:asciiTheme="minorHAnsi" w:hAnsiTheme="minorHAnsi"/>
          <w:sz w:val="22"/>
          <w:szCs w:val="22"/>
        </w:rPr>
        <w:t xml:space="preserve"> a souvisejících služeb</w:t>
      </w:r>
      <w:r w:rsidRPr="00B10B5D">
        <w:rPr>
          <w:rFonts w:asciiTheme="minorHAnsi" w:hAnsiTheme="minorHAnsi"/>
          <w:sz w:val="22"/>
          <w:szCs w:val="22"/>
        </w:rPr>
        <w:t>, a to za podmínek dále uvedených v této Smlouvě a Řádu</w:t>
      </w:r>
      <w:r w:rsidR="0062124A" w:rsidRPr="00B10B5D">
        <w:rPr>
          <w:rFonts w:asciiTheme="minorHAnsi" w:hAnsiTheme="minorHAnsi"/>
          <w:sz w:val="22"/>
          <w:szCs w:val="22"/>
        </w:rPr>
        <w:t>;</w:t>
      </w:r>
    </w:p>
    <w:p w:rsidR="00D932A0" w:rsidRPr="00B10B5D" w:rsidRDefault="00D932A0" w:rsidP="00B10B5D">
      <w:pPr>
        <w:pStyle w:val="Odstavecseseznamem"/>
        <w:numPr>
          <w:ilvl w:val="0"/>
          <w:numId w:val="6"/>
        </w:numPr>
        <w:tabs>
          <w:tab w:val="clear" w:pos="283"/>
          <w:tab w:val="left" w:pos="426"/>
        </w:tabs>
        <w:spacing w:before="60" w:after="60"/>
        <w:ind w:left="851" w:hanging="284"/>
        <w:contextualSpacing/>
        <w:jc w:val="both"/>
        <w:rPr>
          <w:rFonts w:asciiTheme="minorHAnsi" w:hAnsiTheme="minorHAnsi" w:cs="Times New Roman"/>
        </w:rPr>
      </w:pPr>
      <w:r w:rsidRPr="00B10B5D">
        <w:rPr>
          <w:rFonts w:asciiTheme="minorHAnsi" w:hAnsiTheme="minorHAnsi" w:cs="Times New Roman"/>
        </w:rPr>
        <w:t xml:space="preserve">Ukladatele vytvořit podmínky pro řádné poskytnutí služby </w:t>
      </w:r>
      <w:r w:rsidR="00932CD3" w:rsidRPr="00B10B5D">
        <w:rPr>
          <w:rFonts w:asciiTheme="minorHAnsi" w:hAnsiTheme="minorHAnsi" w:cs="Times New Roman"/>
        </w:rPr>
        <w:t>uskladňování</w:t>
      </w:r>
      <w:r w:rsidRPr="00B10B5D">
        <w:rPr>
          <w:rFonts w:asciiTheme="minorHAnsi" w:hAnsiTheme="minorHAnsi" w:cs="Times New Roman"/>
        </w:rPr>
        <w:t xml:space="preserve"> skladovatelem a zaplatit za službu </w:t>
      </w:r>
      <w:r w:rsidR="00932CD3" w:rsidRPr="00B10B5D">
        <w:rPr>
          <w:rFonts w:asciiTheme="minorHAnsi" w:hAnsiTheme="minorHAnsi" w:cs="Times New Roman"/>
        </w:rPr>
        <w:t>uskladňování</w:t>
      </w:r>
      <w:r w:rsidRPr="00B10B5D">
        <w:rPr>
          <w:rFonts w:asciiTheme="minorHAnsi" w:hAnsiTheme="minorHAnsi" w:cs="Times New Roman"/>
        </w:rPr>
        <w:t xml:space="preserve"> celkovou cenu a to vše za podmínek dále u</w:t>
      </w:r>
      <w:r w:rsidR="00B10B5D" w:rsidRPr="00B10B5D">
        <w:rPr>
          <w:rFonts w:asciiTheme="minorHAnsi" w:hAnsiTheme="minorHAnsi" w:cs="Times New Roman"/>
        </w:rPr>
        <w:t>vedených v této Smlouvě a Řádu</w:t>
      </w:r>
      <w:r w:rsidR="00A878AC">
        <w:rPr>
          <w:rFonts w:asciiTheme="minorHAnsi" w:hAnsiTheme="minorHAnsi" w:cs="Times New Roman"/>
        </w:rPr>
        <w:t>,</w:t>
      </w:r>
    </w:p>
    <w:p w:rsidR="00B10B5D" w:rsidRPr="00B10B5D" w:rsidRDefault="00B10B5D" w:rsidP="00B10B5D">
      <w:pPr>
        <w:tabs>
          <w:tab w:val="left" w:pos="426"/>
        </w:tabs>
        <w:spacing w:before="60" w:after="60" w:line="276" w:lineRule="auto"/>
        <w:ind w:left="426"/>
        <w:contextualSpacing/>
        <w:rPr>
          <w:rFonts w:asciiTheme="minorHAnsi" w:hAnsiTheme="minorHAnsi"/>
        </w:rPr>
      </w:pPr>
      <w:r w:rsidRPr="00B10B5D">
        <w:rPr>
          <w:rFonts w:asciiTheme="minorHAnsi" w:hAnsiTheme="minorHAnsi"/>
          <w:sz w:val="22"/>
          <w:szCs w:val="22"/>
        </w:rPr>
        <w:t>a to dle provozních parametrů rezervovaných pro ukladatele na základě výsledků elektronické aukce ze dne</w:t>
      </w:r>
      <w:r>
        <w:rPr>
          <w:rFonts w:asciiTheme="minorHAnsi" w:hAnsiTheme="minorHAnsi"/>
        </w:rPr>
        <w:t xml:space="preserve"> </w:t>
      </w:r>
      <w:r w:rsidRPr="0060046F">
        <w:rPr>
          <w:rFonts w:asciiTheme="minorHAnsi" w:hAnsiTheme="minorHAnsi"/>
          <w:sz w:val="22"/>
          <w:szCs w:val="22"/>
        </w:rPr>
        <w:t>[</w:t>
      </w:r>
      <w:r w:rsidRPr="0060046F">
        <w:rPr>
          <w:rFonts w:asciiTheme="minorHAnsi" w:hAnsiTheme="minorHAnsi"/>
          <w:sz w:val="22"/>
          <w:szCs w:val="22"/>
          <w:highlight w:val="yellow"/>
        </w:rPr>
        <w:t>●</w:t>
      </w:r>
      <w:r w:rsidRPr="0060046F">
        <w:rPr>
          <w:rFonts w:asciiTheme="minorHAnsi" w:hAnsiTheme="minorHAnsi"/>
          <w:sz w:val="22"/>
          <w:szCs w:val="22"/>
        </w:rPr>
        <w:t>]</w:t>
      </w:r>
      <w:r>
        <w:rPr>
          <w:rFonts w:asciiTheme="minorHAnsi" w:hAnsiTheme="minorHAnsi"/>
          <w:sz w:val="22"/>
          <w:szCs w:val="22"/>
        </w:rPr>
        <w:t xml:space="preserve"> uvedených v čl. III. této Smlouvy (dále jen „Služba“).</w:t>
      </w:r>
    </w:p>
    <w:p w:rsidR="00D932A0" w:rsidRPr="0060046F" w:rsidRDefault="00D932A0" w:rsidP="00B10B5D">
      <w:pPr>
        <w:widowControl/>
        <w:numPr>
          <w:ilvl w:val="0"/>
          <w:numId w:val="5"/>
        </w:numPr>
        <w:tabs>
          <w:tab w:val="clear" w:pos="720"/>
          <w:tab w:val="num" w:pos="0"/>
          <w:tab w:val="num" w:pos="426"/>
        </w:tabs>
        <w:overflowPunct/>
        <w:autoSpaceDE/>
        <w:autoSpaceDN/>
        <w:adjustRightInd/>
        <w:spacing w:before="120" w:after="60" w:line="276" w:lineRule="auto"/>
        <w:ind w:left="426" w:hanging="426"/>
        <w:textAlignment w:val="auto"/>
        <w:rPr>
          <w:rFonts w:asciiTheme="minorHAnsi" w:hAnsiTheme="minorHAnsi"/>
          <w:sz w:val="22"/>
          <w:szCs w:val="22"/>
        </w:rPr>
      </w:pPr>
      <w:r w:rsidRPr="0060046F">
        <w:rPr>
          <w:rFonts w:asciiTheme="minorHAnsi" w:hAnsiTheme="minorHAnsi"/>
          <w:sz w:val="22"/>
          <w:szCs w:val="22"/>
        </w:rPr>
        <w:t xml:space="preserve">Smluvní strany se zavazují při plnění této Smlouvy dodržovat </w:t>
      </w:r>
      <w:r w:rsidR="00A878AC" w:rsidRPr="0060046F">
        <w:rPr>
          <w:rFonts w:asciiTheme="minorHAnsi" w:hAnsiTheme="minorHAnsi"/>
          <w:sz w:val="22"/>
          <w:szCs w:val="22"/>
        </w:rPr>
        <w:t xml:space="preserve">zároveň </w:t>
      </w:r>
      <w:r w:rsidRPr="0060046F">
        <w:rPr>
          <w:rFonts w:asciiTheme="minorHAnsi" w:hAnsiTheme="minorHAnsi"/>
          <w:sz w:val="22"/>
          <w:szCs w:val="22"/>
        </w:rPr>
        <w:t xml:space="preserve">ustanovení Řádu, která jsou  platná a účinná k datu uzavření Smlouvy ukladatelem, včetně ustanovení Řádu později změněných skladovatelem z důvodů vyvolaných změnou obecně závazných právních předpisů nebo rozhodnutím </w:t>
      </w:r>
      <w:r w:rsidRPr="0060046F">
        <w:rPr>
          <w:rFonts w:asciiTheme="minorHAnsi" w:hAnsiTheme="minorHAnsi"/>
          <w:sz w:val="22"/>
          <w:szCs w:val="22"/>
        </w:rPr>
        <w:lastRenderedPageBreak/>
        <w:t>příslušného orgánu státní správy. Ukladatel prohlašuje, že se dostatečně seznámil se zněním Řádu platným a účinným k datu uzavření Smlouvy a má jej k dispozici.</w:t>
      </w:r>
    </w:p>
    <w:p w:rsidR="00D932A0" w:rsidRPr="0060046F" w:rsidRDefault="00D932A0" w:rsidP="00B10B5D">
      <w:pPr>
        <w:widowControl/>
        <w:numPr>
          <w:ilvl w:val="0"/>
          <w:numId w:val="5"/>
        </w:numPr>
        <w:tabs>
          <w:tab w:val="clear" w:pos="720"/>
          <w:tab w:val="num" w:pos="0"/>
          <w:tab w:val="num" w:pos="426"/>
        </w:tabs>
        <w:overflowPunct/>
        <w:autoSpaceDE/>
        <w:autoSpaceDN/>
        <w:adjustRightInd/>
        <w:spacing w:before="120" w:after="60" w:line="276" w:lineRule="auto"/>
        <w:ind w:left="426" w:hanging="426"/>
        <w:textAlignment w:val="auto"/>
        <w:rPr>
          <w:rFonts w:asciiTheme="minorHAnsi" w:hAnsiTheme="minorHAnsi"/>
          <w:sz w:val="22"/>
          <w:szCs w:val="22"/>
        </w:rPr>
      </w:pPr>
      <w:r w:rsidRPr="0060046F">
        <w:rPr>
          <w:rFonts w:asciiTheme="minorHAnsi" w:hAnsiTheme="minorHAnsi"/>
          <w:sz w:val="22"/>
          <w:szCs w:val="22"/>
        </w:rPr>
        <w:t>Pokud budou prováděny změny Řádu (v souladu s předchozím bodem) bude pro postup smluvních stran rozhodující znění, které je účinné v době, kdy je plnění prováděno a v případě prodlení s plněním v den, kdy plnění mělo být provedeno. V případě rozporu znění Řádu a této Smlouvy mají přednost ustanovení uvedená v této Smlouvě.</w:t>
      </w:r>
    </w:p>
    <w:p w:rsidR="00D932A0" w:rsidRPr="0060046F" w:rsidRDefault="00D932A0" w:rsidP="0060046F">
      <w:pPr>
        <w:spacing w:before="240" w:line="276" w:lineRule="auto"/>
        <w:ind w:left="426" w:hanging="426"/>
        <w:jc w:val="center"/>
        <w:rPr>
          <w:rFonts w:asciiTheme="minorHAnsi" w:hAnsiTheme="minorHAnsi"/>
          <w:b/>
          <w:sz w:val="22"/>
          <w:szCs w:val="22"/>
        </w:rPr>
      </w:pPr>
      <w:r w:rsidRPr="0060046F">
        <w:rPr>
          <w:rFonts w:asciiTheme="minorHAnsi" w:hAnsiTheme="minorHAnsi"/>
          <w:b/>
          <w:sz w:val="22"/>
          <w:szCs w:val="22"/>
        </w:rPr>
        <w:t>III. Skladovací kapacity</w:t>
      </w:r>
    </w:p>
    <w:p w:rsidR="00D932A0" w:rsidRDefault="00D932A0" w:rsidP="00B10B5D">
      <w:pPr>
        <w:widowControl/>
        <w:numPr>
          <w:ilvl w:val="0"/>
          <w:numId w:val="7"/>
        </w:numPr>
        <w:tabs>
          <w:tab w:val="clear" w:pos="720"/>
        </w:tabs>
        <w:overflowPunct/>
        <w:autoSpaceDE/>
        <w:autoSpaceDN/>
        <w:adjustRightInd/>
        <w:spacing w:before="120" w:after="60" w:line="276" w:lineRule="auto"/>
        <w:ind w:left="426" w:hanging="426"/>
        <w:textAlignment w:val="auto"/>
        <w:rPr>
          <w:rFonts w:asciiTheme="minorHAnsi" w:hAnsiTheme="minorHAnsi"/>
          <w:sz w:val="22"/>
          <w:szCs w:val="22"/>
        </w:rPr>
      </w:pPr>
      <w:r w:rsidRPr="0060046F">
        <w:rPr>
          <w:rFonts w:asciiTheme="minorHAnsi" w:hAnsiTheme="minorHAnsi"/>
          <w:sz w:val="22"/>
          <w:szCs w:val="22"/>
        </w:rPr>
        <w:t>Skladovatel se po celou dobu účinnosti Smlouvy zavazuje poskytovat ukla</w:t>
      </w:r>
      <w:r w:rsidR="0069097F" w:rsidRPr="0060046F">
        <w:rPr>
          <w:rFonts w:asciiTheme="minorHAnsi" w:hAnsiTheme="minorHAnsi"/>
          <w:sz w:val="22"/>
          <w:szCs w:val="22"/>
        </w:rPr>
        <w:t xml:space="preserve">dateli v rámci </w:t>
      </w:r>
      <w:r w:rsidR="00B10B5D">
        <w:rPr>
          <w:rFonts w:asciiTheme="minorHAnsi" w:hAnsiTheme="minorHAnsi"/>
          <w:sz w:val="22"/>
          <w:szCs w:val="22"/>
        </w:rPr>
        <w:t>S</w:t>
      </w:r>
      <w:r w:rsidR="0069097F" w:rsidRPr="0060046F">
        <w:rPr>
          <w:rFonts w:asciiTheme="minorHAnsi" w:hAnsiTheme="minorHAnsi"/>
          <w:sz w:val="22"/>
          <w:szCs w:val="22"/>
        </w:rPr>
        <w:t xml:space="preserve">lužby </w:t>
      </w:r>
      <w:r w:rsidR="00412C24" w:rsidRPr="0060046F">
        <w:rPr>
          <w:rFonts w:asciiTheme="minorHAnsi" w:hAnsiTheme="minorHAnsi"/>
          <w:sz w:val="22"/>
          <w:szCs w:val="22"/>
        </w:rPr>
        <w:t xml:space="preserve">následující skladovací kapacity, při zohlednění </w:t>
      </w:r>
      <w:r w:rsidRPr="0060046F">
        <w:rPr>
          <w:rFonts w:asciiTheme="minorHAnsi" w:hAnsiTheme="minorHAnsi"/>
          <w:sz w:val="22"/>
          <w:szCs w:val="22"/>
        </w:rPr>
        <w:t>omezení uvedený</w:t>
      </w:r>
      <w:r w:rsidR="00412C24" w:rsidRPr="0060046F">
        <w:rPr>
          <w:rFonts w:asciiTheme="minorHAnsi" w:hAnsiTheme="minorHAnsi"/>
          <w:sz w:val="22"/>
          <w:szCs w:val="22"/>
        </w:rPr>
        <w:t>ch</w:t>
      </w:r>
      <w:r w:rsidRPr="0060046F">
        <w:rPr>
          <w:rFonts w:asciiTheme="minorHAnsi" w:hAnsiTheme="minorHAnsi"/>
          <w:sz w:val="22"/>
          <w:szCs w:val="22"/>
        </w:rPr>
        <w:t xml:space="preserve"> v této Smlouvě, Řádu a obecně závazných právních předpisech</w:t>
      </w:r>
      <w:r w:rsidR="00412C24" w:rsidRPr="0060046F">
        <w:rPr>
          <w:rFonts w:asciiTheme="minorHAnsi" w:hAnsiTheme="minorHAnsi"/>
          <w:sz w:val="22"/>
          <w:szCs w:val="22"/>
        </w:rPr>
        <w:t>:</w:t>
      </w:r>
    </w:p>
    <w:p w:rsidR="00D932A0" w:rsidRPr="0060046F" w:rsidRDefault="00D932A0" w:rsidP="0060046F">
      <w:pPr>
        <w:spacing w:line="276" w:lineRule="auto"/>
        <w:ind w:left="426"/>
        <w:rPr>
          <w:rFonts w:asciiTheme="minorHAnsi" w:hAnsiTheme="minorHAnsi"/>
          <w:sz w:val="22"/>
          <w:szCs w:val="22"/>
        </w:rPr>
      </w:pPr>
      <w:r w:rsidRPr="0060046F">
        <w:rPr>
          <w:rFonts w:asciiTheme="minorHAnsi" w:hAnsiTheme="minorHAnsi"/>
          <w:sz w:val="22"/>
          <w:szCs w:val="22"/>
        </w:rPr>
        <w:t xml:space="preserve">Denní maximální těžební výkon: </w:t>
      </w:r>
      <w:r w:rsidR="0069097F" w:rsidRPr="0060046F">
        <w:rPr>
          <w:rFonts w:asciiTheme="minorHAnsi" w:hAnsiTheme="minorHAnsi"/>
          <w:sz w:val="22"/>
          <w:szCs w:val="22"/>
        </w:rPr>
        <w:tab/>
      </w:r>
      <w:r w:rsidR="006847B9" w:rsidRPr="0060046F">
        <w:rPr>
          <w:rFonts w:asciiTheme="minorHAnsi" w:hAnsiTheme="minorHAnsi"/>
          <w:sz w:val="22"/>
          <w:szCs w:val="22"/>
        </w:rPr>
        <w:t>[</w:t>
      </w:r>
      <w:r w:rsidR="006847B9" w:rsidRPr="0060046F">
        <w:rPr>
          <w:rFonts w:asciiTheme="minorHAnsi" w:hAnsiTheme="minorHAnsi"/>
          <w:sz w:val="22"/>
          <w:szCs w:val="22"/>
          <w:highlight w:val="yellow"/>
        </w:rPr>
        <w:t>●</w:t>
      </w:r>
      <w:r w:rsidR="006847B9" w:rsidRPr="0060046F">
        <w:rPr>
          <w:rFonts w:asciiTheme="minorHAnsi" w:hAnsiTheme="minorHAnsi"/>
          <w:sz w:val="22"/>
          <w:szCs w:val="22"/>
        </w:rPr>
        <w:t>]</w:t>
      </w:r>
      <w:r w:rsidR="00A33E92" w:rsidRPr="0060046F">
        <w:rPr>
          <w:rFonts w:asciiTheme="minorHAnsi" w:hAnsiTheme="minorHAnsi"/>
          <w:sz w:val="22"/>
          <w:szCs w:val="22"/>
        </w:rPr>
        <w:t xml:space="preserve"> </w:t>
      </w:r>
      <w:r w:rsidR="0069097F" w:rsidRPr="0060046F">
        <w:rPr>
          <w:rFonts w:asciiTheme="minorHAnsi" w:hAnsiTheme="minorHAnsi"/>
          <w:sz w:val="22"/>
          <w:szCs w:val="22"/>
        </w:rPr>
        <w:tab/>
      </w:r>
      <w:r w:rsidRPr="0060046F">
        <w:rPr>
          <w:rFonts w:asciiTheme="minorHAnsi" w:hAnsiTheme="minorHAnsi"/>
          <w:sz w:val="22"/>
          <w:szCs w:val="22"/>
        </w:rPr>
        <w:t xml:space="preserve"> </w:t>
      </w:r>
      <w:proofErr w:type="spellStart"/>
      <w:r w:rsidR="00CE1AE3">
        <w:rPr>
          <w:rFonts w:asciiTheme="minorHAnsi" w:hAnsiTheme="minorHAnsi"/>
          <w:sz w:val="22"/>
          <w:szCs w:val="22"/>
        </w:rPr>
        <w:t>M</w:t>
      </w:r>
      <w:r w:rsidR="00D17EB6" w:rsidRPr="0060046F">
        <w:rPr>
          <w:rFonts w:asciiTheme="minorHAnsi" w:hAnsiTheme="minorHAnsi"/>
          <w:sz w:val="22"/>
          <w:szCs w:val="22"/>
        </w:rPr>
        <w:t>Wh</w:t>
      </w:r>
      <w:proofErr w:type="spellEnd"/>
      <w:r w:rsidRPr="0060046F">
        <w:rPr>
          <w:rFonts w:asciiTheme="minorHAnsi" w:hAnsiTheme="minorHAnsi"/>
          <w:sz w:val="22"/>
          <w:szCs w:val="22"/>
        </w:rPr>
        <w:t>/den</w:t>
      </w:r>
    </w:p>
    <w:p w:rsidR="00D932A0" w:rsidRPr="0060046F" w:rsidRDefault="00D932A0" w:rsidP="0060046F">
      <w:pPr>
        <w:spacing w:line="276" w:lineRule="auto"/>
        <w:ind w:left="426"/>
        <w:rPr>
          <w:rFonts w:asciiTheme="minorHAnsi" w:hAnsiTheme="minorHAnsi"/>
          <w:sz w:val="22"/>
          <w:szCs w:val="22"/>
        </w:rPr>
      </w:pPr>
      <w:r w:rsidRPr="0060046F">
        <w:rPr>
          <w:rFonts w:asciiTheme="minorHAnsi" w:hAnsiTheme="minorHAnsi"/>
          <w:sz w:val="22"/>
          <w:szCs w:val="22"/>
        </w:rPr>
        <w:t xml:space="preserve">Denní maximální </w:t>
      </w:r>
      <w:proofErr w:type="spellStart"/>
      <w:r w:rsidRPr="0060046F">
        <w:rPr>
          <w:rFonts w:asciiTheme="minorHAnsi" w:hAnsiTheme="minorHAnsi"/>
          <w:sz w:val="22"/>
          <w:szCs w:val="22"/>
        </w:rPr>
        <w:t>vtláčecí</w:t>
      </w:r>
      <w:proofErr w:type="spellEnd"/>
      <w:r w:rsidRPr="0060046F">
        <w:rPr>
          <w:rFonts w:asciiTheme="minorHAnsi" w:hAnsiTheme="minorHAnsi"/>
          <w:sz w:val="22"/>
          <w:szCs w:val="22"/>
        </w:rPr>
        <w:t xml:space="preserve"> výkon: </w:t>
      </w:r>
      <w:r w:rsidR="0069097F" w:rsidRPr="0060046F">
        <w:rPr>
          <w:rFonts w:asciiTheme="minorHAnsi" w:hAnsiTheme="minorHAnsi"/>
          <w:sz w:val="22"/>
          <w:szCs w:val="22"/>
        </w:rPr>
        <w:tab/>
      </w:r>
      <w:r w:rsidR="006847B9" w:rsidRPr="0060046F">
        <w:rPr>
          <w:rFonts w:asciiTheme="minorHAnsi" w:hAnsiTheme="minorHAnsi"/>
          <w:sz w:val="22"/>
          <w:szCs w:val="22"/>
        </w:rPr>
        <w:t>[</w:t>
      </w:r>
      <w:r w:rsidR="006847B9" w:rsidRPr="0060046F">
        <w:rPr>
          <w:rFonts w:asciiTheme="minorHAnsi" w:hAnsiTheme="minorHAnsi"/>
          <w:sz w:val="22"/>
          <w:szCs w:val="22"/>
          <w:highlight w:val="yellow"/>
        </w:rPr>
        <w:t>●</w:t>
      </w:r>
      <w:r w:rsidR="006847B9" w:rsidRPr="0060046F">
        <w:rPr>
          <w:rFonts w:asciiTheme="minorHAnsi" w:hAnsiTheme="minorHAnsi"/>
          <w:sz w:val="22"/>
          <w:szCs w:val="22"/>
        </w:rPr>
        <w:t>]</w:t>
      </w:r>
      <w:r w:rsidR="0069097F" w:rsidRPr="0060046F">
        <w:rPr>
          <w:rFonts w:asciiTheme="minorHAnsi" w:hAnsiTheme="minorHAnsi"/>
          <w:sz w:val="22"/>
          <w:szCs w:val="22"/>
        </w:rPr>
        <w:tab/>
      </w:r>
      <w:r w:rsidRPr="0060046F">
        <w:rPr>
          <w:rFonts w:asciiTheme="minorHAnsi" w:hAnsiTheme="minorHAnsi"/>
          <w:sz w:val="22"/>
          <w:szCs w:val="22"/>
        </w:rPr>
        <w:t xml:space="preserve"> </w:t>
      </w:r>
      <w:proofErr w:type="spellStart"/>
      <w:r w:rsidR="00CE1AE3">
        <w:rPr>
          <w:rFonts w:asciiTheme="minorHAnsi" w:hAnsiTheme="minorHAnsi"/>
          <w:sz w:val="22"/>
          <w:szCs w:val="22"/>
        </w:rPr>
        <w:t>M</w:t>
      </w:r>
      <w:r w:rsidR="00CE1AE3" w:rsidRPr="0060046F">
        <w:rPr>
          <w:rFonts w:asciiTheme="minorHAnsi" w:hAnsiTheme="minorHAnsi"/>
          <w:sz w:val="22"/>
          <w:szCs w:val="22"/>
        </w:rPr>
        <w:t>Wh</w:t>
      </w:r>
      <w:proofErr w:type="spellEnd"/>
      <w:r w:rsidRPr="0060046F">
        <w:rPr>
          <w:rFonts w:asciiTheme="minorHAnsi" w:hAnsiTheme="minorHAnsi"/>
          <w:sz w:val="22"/>
          <w:szCs w:val="22"/>
        </w:rPr>
        <w:t>/den</w:t>
      </w:r>
    </w:p>
    <w:p w:rsidR="00D932A0" w:rsidRPr="0060046F" w:rsidRDefault="00934C91" w:rsidP="0060046F">
      <w:pPr>
        <w:spacing w:line="276" w:lineRule="auto"/>
        <w:ind w:left="426"/>
        <w:rPr>
          <w:rFonts w:asciiTheme="minorHAnsi" w:hAnsiTheme="minorHAnsi"/>
          <w:sz w:val="22"/>
          <w:szCs w:val="22"/>
        </w:rPr>
      </w:pPr>
      <w:r w:rsidRPr="0060046F">
        <w:rPr>
          <w:rFonts w:asciiTheme="minorHAnsi" w:hAnsiTheme="minorHAnsi"/>
          <w:sz w:val="22"/>
          <w:szCs w:val="22"/>
        </w:rPr>
        <w:t>Rezervovaná skladovací kapacita</w:t>
      </w:r>
      <w:r w:rsidR="00D932A0" w:rsidRPr="0060046F">
        <w:rPr>
          <w:rFonts w:asciiTheme="minorHAnsi" w:hAnsiTheme="minorHAnsi"/>
          <w:sz w:val="22"/>
          <w:szCs w:val="22"/>
        </w:rPr>
        <w:t xml:space="preserve">: </w:t>
      </w:r>
      <w:r w:rsidR="00412C24" w:rsidRPr="0060046F">
        <w:rPr>
          <w:rFonts w:asciiTheme="minorHAnsi" w:hAnsiTheme="minorHAnsi"/>
          <w:sz w:val="22"/>
          <w:szCs w:val="22"/>
        </w:rPr>
        <w:tab/>
      </w:r>
      <w:r w:rsidR="006847B9" w:rsidRPr="0060046F">
        <w:rPr>
          <w:rFonts w:asciiTheme="minorHAnsi" w:hAnsiTheme="minorHAnsi"/>
          <w:sz w:val="22"/>
          <w:szCs w:val="22"/>
        </w:rPr>
        <w:t>[</w:t>
      </w:r>
      <w:r w:rsidR="006847B9" w:rsidRPr="0060046F">
        <w:rPr>
          <w:rFonts w:asciiTheme="minorHAnsi" w:hAnsiTheme="minorHAnsi"/>
          <w:sz w:val="22"/>
          <w:szCs w:val="22"/>
          <w:highlight w:val="yellow"/>
        </w:rPr>
        <w:t>●</w:t>
      </w:r>
      <w:r w:rsidR="006847B9" w:rsidRPr="0060046F">
        <w:rPr>
          <w:rFonts w:asciiTheme="minorHAnsi" w:hAnsiTheme="minorHAnsi"/>
          <w:sz w:val="22"/>
          <w:szCs w:val="22"/>
        </w:rPr>
        <w:t>]</w:t>
      </w:r>
      <w:r w:rsidR="0037140F" w:rsidRPr="0060046F">
        <w:rPr>
          <w:rFonts w:asciiTheme="minorHAnsi" w:hAnsiTheme="minorHAnsi"/>
          <w:sz w:val="22"/>
          <w:szCs w:val="22"/>
        </w:rPr>
        <w:tab/>
      </w:r>
      <w:r w:rsidR="00A33E92" w:rsidRPr="0060046F">
        <w:rPr>
          <w:rFonts w:asciiTheme="minorHAnsi" w:hAnsiTheme="minorHAnsi"/>
          <w:sz w:val="22"/>
          <w:szCs w:val="22"/>
        </w:rPr>
        <w:t xml:space="preserve"> </w:t>
      </w:r>
      <w:proofErr w:type="spellStart"/>
      <w:r w:rsidR="00CE1AE3">
        <w:rPr>
          <w:rFonts w:asciiTheme="minorHAnsi" w:hAnsiTheme="minorHAnsi"/>
          <w:sz w:val="22"/>
          <w:szCs w:val="22"/>
        </w:rPr>
        <w:t>M</w:t>
      </w:r>
      <w:r w:rsidR="00CE1AE3" w:rsidRPr="0060046F">
        <w:rPr>
          <w:rFonts w:asciiTheme="minorHAnsi" w:hAnsiTheme="minorHAnsi"/>
          <w:sz w:val="22"/>
          <w:szCs w:val="22"/>
        </w:rPr>
        <w:t>Wh</w:t>
      </w:r>
      <w:proofErr w:type="spellEnd"/>
    </w:p>
    <w:p w:rsidR="006846F3" w:rsidRPr="0060046F" w:rsidRDefault="00CE1AE3" w:rsidP="00B10B5D">
      <w:pPr>
        <w:widowControl/>
        <w:numPr>
          <w:ilvl w:val="0"/>
          <w:numId w:val="7"/>
        </w:numPr>
        <w:tabs>
          <w:tab w:val="clear" w:pos="720"/>
        </w:tabs>
        <w:overflowPunct/>
        <w:autoSpaceDE/>
        <w:autoSpaceDN/>
        <w:adjustRightInd/>
        <w:spacing w:before="120" w:after="60" w:line="276" w:lineRule="auto"/>
        <w:ind w:left="426"/>
        <w:textAlignment w:val="auto"/>
        <w:rPr>
          <w:rFonts w:asciiTheme="minorHAnsi" w:hAnsiTheme="minorHAnsi"/>
          <w:sz w:val="22"/>
          <w:szCs w:val="22"/>
        </w:rPr>
      </w:pPr>
      <w:proofErr w:type="spellStart"/>
      <w:r w:rsidRPr="006846F3">
        <w:rPr>
          <w:rFonts w:asciiTheme="minorHAnsi" w:hAnsiTheme="minorHAnsi"/>
          <w:sz w:val="22"/>
          <w:szCs w:val="22"/>
        </w:rPr>
        <w:t>Vtlačn</w:t>
      </w:r>
      <w:r>
        <w:rPr>
          <w:rFonts w:asciiTheme="minorHAnsi" w:hAnsiTheme="minorHAnsi"/>
          <w:sz w:val="22"/>
          <w:szCs w:val="22"/>
        </w:rPr>
        <w:t>é</w:t>
      </w:r>
      <w:proofErr w:type="spellEnd"/>
      <w:r w:rsidRPr="006846F3">
        <w:rPr>
          <w:rFonts w:asciiTheme="minorHAnsi" w:hAnsiTheme="minorHAnsi"/>
          <w:sz w:val="22"/>
          <w:szCs w:val="22"/>
        </w:rPr>
        <w:t xml:space="preserve"> </w:t>
      </w:r>
      <w:r w:rsidR="006846F3" w:rsidRPr="006846F3">
        <w:rPr>
          <w:rFonts w:asciiTheme="minorHAnsi" w:hAnsiTheme="minorHAnsi"/>
          <w:sz w:val="22"/>
          <w:szCs w:val="22"/>
        </w:rPr>
        <w:t>a těžební křivky jsou uvedeny jako Příloha č. 1 této Smlouvy a tvoří její nedílnou součást.</w:t>
      </w:r>
    </w:p>
    <w:p w:rsidR="00D932A0" w:rsidRPr="0060046F" w:rsidRDefault="00D932A0" w:rsidP="0060046F">
      <w:pPr>
        <w:spacing w:before="240" w:line="276" w:lineRule="auto"/>
        <w:ind w:left="426" w:hanging="426"/>
        <w:jc w:val="center"/>
        <w:rPr>
          <w:rFonts w:asciiTheme="minorHAnsi" w:hAnsiTheme="minorHAnsi"/>
          <w:b/>
          <w:sz w:val="22"/>
          <w:szCs w:val="22"/>
        </w:rPr>
      </w:pPr>
      <w:r w:rsidRPr="0060046F">
        <w:rPr>
          <w:rFonts w:asciiTheme="minorHAnsi" w:hAnsiTheme="minorHAnsi"/>
          <w:b/>
          <w:sz w:val="22"/>
          <w:szCs w:val="22"/>
        </w:rPr>
        <w:t>IV. Cena za skladování</w:t>
      </w:r>
    </w:p>
    <w:p w:rsidR="00934C91" w:rsidRPr="0060046F" w:rsidRDefault="00934C91" w:rsidP="007A69AA">
      <w:pPr>
        <w:pStyle w:val="Odstavecseseznamem"/>
        <w:numPr>
          <w:ilvl w:val="0"/>
          <w:numId w:val="20"/>
        </w:numPr>
        <w:tabs>
          <w:tab w:val="clear" w:pos="720"/>
        </w:tabs>
        <w:spacing w:before="120" w:after="60"/>
        <w:ind w:left="426" w:hanging="426"/>
        <w:jc w:val="both"/>
        <w:rPr>
          <w:rFonts w:asciiTheme="minorHAnsi" w:hAnsiTheme="minorHAnsi"/>
        </w:rPr>
      </w:pPr>
      <w:r w:rsidRPr="0060046F">
        <w:rPr>
          <w:rFonts w:asciiTheme="minorHAnsi" w:hAnsiTheme="minorHAnsi"/>
        </w:rPr>
        <w:t xml:space="preserve">Celková </w:t>
      </w:r>
      <w:r w:rsidR="00B10B5D">
        <w:rPr>
          <w:rFonts w:asciiTheme="minorHAnsi" w:hAnsiTheme="minorHAnsi"/>
        </w:rPr>
        <w:t xml:space="preserve">roční </w:t>
      </w:r>
      <w:r w:rsidRPr="0060046F">
        <w:rPr>
          <w:rFonts w:asciiTheme="minorHAnsi" w:hAnsiTheme="minorHAnsi"/>
        </w:rPr>
        <w:t xml:space="preserve">cena za </w:t>
      </w:r>
      <w:r w:rsidR="00B10B5D">
        <w:rPr>
          <w:rFonts w:asciiTheme="minorHAnsi" w:hAnsiTheme="minorHAnsi"/>
        </w:rPr>
        <w:t xml:space="preserve">Službu </w:t>
      </w:r>
      <w:r w:rsidRPr="0060046F">
        <w:rPr>
          <w:rFonts w:asciiTheme="minorHAnsi" w:hAnsiTheme="minorHAnsi"/>
        </w:rPr>
        <w:t>se skládá z ceny za uskladňování plynu</w:t>
      </w:r>
      <w:r w:rsidR="008120F4">
        <w:rPr>
          <w:rFonts w:asciiTheme="minorHAnsi" w:hAnsiTheme="minorHAnsi"/>
        </w:rPr>
        <w:t>,</w:t>
      </w:r>
      <w:r w:rsidRPr="0060046F">
        <w:rPr>
          <w:rFonts w:asciiTheme="minorHAnsi" w:hAnsiTheme="minorHAnsi"/>
        </w:rPr>
        <w:t xml:space="preserve"> </w:t>
      </w:r>
      <w:r w:rsidR="00B10B5D">
        <w:rPr>
          <w:rFonts w:asciiTheme="minorHAnsi" w:hAnsiTheme="minorHAnsi"/>
        </w:rPr>
        <w:t xml:space="preserve">vypočtena na základě jednotkové ceny dosažené </w:t>
      </w:r>
      <w:r w:rsidRPr="0060046F">
        <w:rPr>
          <w:rFonts w:asciiTheme="minorHAnsi" w:hAnsiTheme="minorHAnsi"/>
        </w:rPr>
        <w:t>jako výsledek elektronické aukce [</w:t>
      </w:r>
      <w:r w:rsidRPr="007A69AA">
        <w:rPr>
          <w:rFonts w:asciiTheme="minorHAnsi" w:hAnsiTheme="minorHAnsi"/>
          <w:highlight w:val="yellow"/>
        </w:rPr>
        <w:t>konané / ukončené</w:t>
      </w:r>
      <w:r w:rsidRPr="0060046F">
        <w:rPr>
          <w:rFonts w:asciiTheme="minorHAnsi" w:hAnsiTheme="minorHAnsi"/>
        </w:rPr>
        <w:t>] dne [</w:t>
      </w:r>
      <w:r w:rsidRPr="0060046F">
        <w:rPr>
          <w:rFonts w:asciiTheme="minorHAnsi" w:hAnsiTheme="minorHAnsi"/>
          <w:highlight w:val="yellow"/>
        </w:rPr>
        <w:t>●</w:t>
      </w:r>
      <w:r w:rsidRPr="0060046F">
        <w:rPr>
          <w:rFonts w:asciiTheme="minorHAnsi" w:hAnsiTheme="minorHAnsi"/>
        </w:rPr>
        <w:t xml:space="preserve">], a dále z </w:t>
      </w:r>
      <w:r w:rsidR="00B10B5D">
        <w:rPr>
          <w:rFonts w:asciiTheme="minorHAnsi" w:hAnsiTheme="minorHAnsi"/>
        </w:rPr>
        <w:t>poplatku</w:t>
      </w:r>
      <w:r w:rsidRPr="0060046F">
        <w:rPr>
          <w:rFonts w:asciiTheme="minorHAnsi" w:hAnsiTheme="minorHAnsi"/>
        </w:rPr>
        <w:t xml:space="preserve"> za činnosti související s uskladňováním plynu.</w:t>
      </w:r>
    </w:p>
    <w:p w:rsidR="006847B9" w:rsidRPr="0060046F" w:rsidRDefault="00934C91" w:rsidP="0060046F">
      <w:pPr>
        <w:pStyle w:val="Odstavecseseznamem"/>
        <w:numPr>
          <w:ilvl w:val="1"/>
          <w:numId w:val="20"/>
        </w:numPr>
        <w:tabs>
          <w:tab w:val="clear" w:pos="1440"/>
        </w:tabs>
        <w:spacing w:before="60" w:after="60"/>
        <w:ind w:left="993"/>
        <w:rPr>
          <w:rFonts w:asciiTheme="minorHAnsi" w:hAnsiTheme="minorHAnsi"/>
          <w:b/>
        </w:rPr>
      </w:pPr>
      <w:r w:rsidRPr="0060046F">
        <w:rPr>
          <w:rFonts w:asciiTheme="minorHAnsi" w:hAnsiTheme="minorHAnsi"/>
          <w:b/>
        </w:rPr>
        <w:t xml:space="preserve">Cena za uskladňování plynu </w:t>
      </w:r>
    </w:p>
    <w:p w:rsidR="00934C91" w:rsidRPr="0060046F" w:rsidRDefault="00934C91" w:rsidP="0060046F">
      <w:pPr>
        <w:pStyle w:val="Odstavecseseznamem"/>
        <w:spacing w:before="60" w:after="60"/>
        <w:ind w:left="993"/>
        <w:rPr>
          <w:rFonts w:asciiTheme="minorHAnsi" w:hAnsiTheme="minorHAnsi"/>
        </w:rPr>
      </w:pPr>
      <w:r w:rsidRPr="0060046F">
        <w:rPr>
          <w:rFonts w:asciiTheme="minorHAnsi" w:hAnsiTheme="minorHAnsi"/>
        </w:rPr>
        <w:t>Pro výpočet roční ceny za uskladňování plynu se vychází</w:t>
      </w:r>
      <w:r w:rsidR="00CD72B4" w:rsidRPr="0060046F">
        <w:rPr>
          <w:rFonts w:asciiTheme="minorHAnsi" w:hAnsiTheme="minorHAnsi"/>
        </w:rPr>
        <w:t xml:space="preserve"> jednotkové ceny určené dle </w:t>
      </w:r>
      <w:r w:rsidRPr="0060046F">
        <w:rPr>
          <w:rFonts w:asciiTheme="minorHAnsi" w:hAnsiTheme="minorHAnsi"/>
        </w:rPr>
        <w:t>následujícího vzorce:</w:t>
      </w:r>
    </w:p>
    <w:p w:rsidR="006847B9" w:rsidRPr="0060046F" w:rsidRDefault="006847B9" w:rsidP="0060046F">
      <w:pPr>
        <w:pStyle w:val="Default"/>
        <w:spacing w:line="276" w:lineRule="auto"/>
        <w:jc w:val="center"/>
        <w:rPr>
          <w:rFonts w:asciiTheme="minorHAnsi" w:hAnsiTheme="minorHAnsi"/>
          <w:b/>
          <w:sz w:val="22"/>
          <w:szCs w:val="22"/>
        </w:rPr>
      </w:pPr>
      <w:proofErr w:type="spellStart"/>
      <w:r w:rsidRPr="0060046F">
        <w:rPr>
          <w:rFonts w:asciiTheme="minorHAnsi" w:hAnsiTheme="minorHAnsi"/>
          <w:b/>
          <w:sz w:val="22"/>
          <w:szCs w:val="22"/>
        </w:rPr>
        <w:t>P</w:t>
      </w:r>
      <w:r w:rsidR="00B10B5D">
        <w:rPr>
          <w:rFonts w:asciiTheme="minorHAnsi" w:hAnsiTheme="minorHAnsi"/>
          <w:b/>
          <w:sz w:val="22"/>
          <w:szCs w:val="22"/>
        </w:rPr>
        <w:t>s</w:t>
      </w:r>
      <w:proofErr w:type="spellEnd"/>
      <w:r w:rsidRPr="0060046F">
        <w:rPr>
          <w:rFonts w:asciiTheme="minorHAnsi" w:hAnsiTheme="minorHAnsi"/>
          <w:b/>
          <w:sz w:val="22"/>
          <w:szCs w:val="22"/>
        </w:rPr>
        <w:t xml:space="preserve"> = Δ</w:t>
      </w:r>
      <w:r w:rsidRPr="0060046F">
        <w:rPr>
          <w:rFonts w:asciiTheme="minorHAnsi" w:hAnsiTheme="minorHAnsi"/>
          <w:b/>
          <w:sz w:val="22"/>
          <w:szCs w:val="22"/>
          <w:vertAlign w:val="subscript"/>
        </w:rPr>
        <w:t>S/W</w:t>
      </w:r>
      <w:r w:rsidRPr="0060046F">
        <w:rPr>
          <w:rFonts w:asciiTheme="minorHAnsi" w:hAnsiTheme="minorHAnsi"/>
          <w:b/>
          <w:sz w:val="22"/>
          <w:szCs w:val="22"/>
        </w:rPr>
        <w:t xml:space="preserve"> + K</w:t>
      </w:r>
    </w:p>
    <w:p w:rsidR="006847B9" w:rsidRPr="0060046F" w:rsidRDefault="006847B9" w:rsidP="0060046F">
      <w:pPr>
        <w:pStyle w:val="Default"/>
        <w:spacing w:line="276" w:lineRule="auto"/>
        <w:ind w:left="993"/>
        <w:jc w:val="both"/>
        <w:rPr>
          <w:rFonts w:asciiTheme="minorHAnsi" w:hAnsiTheme="minorHAnsi"/>
          <w:sz w:val="22"/>
          <w:szCs w:val="22"/>
        </w:rPr>
      </w:pPr>
      <w:r w:rsidRPr="0060046F">
        <w:rPr>
          <w:rFonts w:asciiTheme="minorHAnsi" w:hAnsiTheme="minorHAnsi"/>
          <w:sz w:val="22"/>
          <w:szCs w:val="22"/>
        </w:rPr>
        <w:t>Kde:</w:t>
      </w:r>
    </w:p>
    <w:p w:rsidR="006847B9" w:rsidRPr="0060046F" w:rsidRDefault="006847B9" w:rsidP="007A69AA">
      <w:pPr>
        <w:pStyle w:val="Default"/>
        <w:spacing w:before="120" w:line="276" w:lineRule="auto"/>
        <w:ind w:left="993"/>
        <w:jc w:val="both"/>
        <w:rPr>
          <w:rFonts w:asciiTheme="minorHAnsi" w:hAnsiTheme="minorHAnsi"/>
          <w:sz w:val="22"/>
          <w:szCs w:val="22"/>
        </w:rPr>
      </w:pPr>
      <w:proofErr w:type="spellStart"/>
      <w:r w:rsidRPr="0060046F">
        <w:rPr>
          <w:rFonts w:asciiTheme="minorHAnsi" w:hAnsiTheme="minorHAnsi"/>
          <w:b/>
          <w:sz w:val="22"/>
          <w:szCs w:val="22"/>
        </w:rPr>
        <w:t>P</w:t>
      </w:r>
      <w:r w:rsidR="00B10B5D">
        <w:rPr>
          <w:rFonts w:asciiTheme="minorHAnsi" w:hAnsiTheme="minorHAnsi"/>
          <w:b/>
          <w:sz w:val="22"/>
          <w:szCs w:val="22"/>
        </w:rPr>
        <w:t>s</w:t>
      </w:r>
      <w:proofErr w:type="spellEnd"/>
      <w:r w:rsidRPr="0060046F">
        <w:rPr>
          <w:rFonts w:asciiTheme="minorHAnsi" w:hAnsiTheme="minorHAnsi"/>
          <w:sz w:val="22"/>
          <w:szCs w:val="22"/>
        </w:rPr>
        <w:tab/>
        <w:t>reprezentuje cenu za jednotku skladovací kapacity pro skladovací rok</w:t>
      </w:r>
      <w:r w:rsidR="00934C91" w:rsidRPr="0060046F">
        <w:rPr>
          <w:rFonts w:asciiTheme="minorHAnsi" w:hAnsiTheme="minorHAnsi"/>
          <w:sz w:val="22"/>
          <w:szCs w:val="22"/>
        </w:rPr>
        <w:t xml:space="preserve"> -</w:t>
      </w:r>
      <w:r w:rsidRPr="0060046F">
        <w:rPr>
          <w:rFonts w:asciiTheme="minorHAnsi" w:hAnsiTheme="minorHAnsi"/>
          <w:sz w:val="22"/>
          <w:szCs w:val="22"/>
        </w:rPr>
        <w:t xml:space="preserve"> cena je určena v Kč </w:t>
      </w:r>
      <w:r w:rsidR="0060046F">
        <w:rPr>
          <w:rFonts w:asciiTheme="minorHAnsi" w:hAnsiTheme="minorHAnsi"/>
          <w:sz w:val="22"/>
          <w:szCs w:val="22"/>
        </w:rPr>
        <w:tab/>
      </w:r>
      <w:r w:rsidRPr="0060046F">
        <w:rPr>
          <w:rFonts w:asciiTheme="minorHAnsi" w:hAnsiTheme="minorHAnsi"/>
          <w:sz w:val="22"/>
          <w:szCs w:val="22"/>
        </w:rPr>
        <w:t xml:space="preserve">za 1 </w:t>
      </w:r>
      <w:proofErr w:type="spellStart"/>
      <w:r w:rsidRPr="0060046F">
        <w:rPr>
          <w:rFonts w:asciiTheme="minorHAnsi" w:hAnsiTheme="minorHAnsi"/>
          <w:sz w:val="22"/>
          <w:szCs w:val="22"/>
        </w:rPr>
        <w:t>MWh</w:t>
      </w:r>
      <w:proofErr w:type="spellEnd"/>
      <w:r w:rsidRPr="0060046F">
        <w:rPr>
          <w:rFonts w:asciiTheme="minorHAnsi" w:hAnsiTheme="minorHAnsi"/>
          <w:sz w:val="22"/>
          <w:szCs w:val="22"/>
        </w:rPr>
        <w:t xml:space="preserve"> rezervované skladovací kapacity;</w:t>
      </w:r>
    </w:p>
    <w:p w:rsidR="006847B9" w:rsidRPr="0060046F" w:rsidRDefault="006847B9" w:rsidP="0060046F">
      <w:pPr>
        <w:pStyle w:val="Default"/>
        <w:spacing w:before="120" w:line="276" w:lineRule="auto"/>
        <w:ind w:left="1413" w:hanging="420"/>
        <w:jc w:val="both"/>
        <w:rPr>
          <w:rFonts w:asciiTheme="minorHAnsi" w:hAnsiTheme="minorHAnsi"/>
          <w:sz w:val="22"/>
          <w:szCs w:val="22"/>
        </w:rPr>
      </w:pPr>
      <w:r w:rsidRPr="0060046F">
        <w:rPr>
          <w:rFonts w:asciiTheme="minorHAnsi" w:hAnsiTheme="minorHAnsi"/>
          <w:b/>
          <w:sz w:val="22"/>
          <w:szCs w:val="22"/>
        </w:rPr>
        <w:t>Δ</w:t>
      </w:r>
      <w:r w:rsidRPr="0060046F">
        <w:rPr>
          <w:rFonts w:asciiTheme="minorHAnsi" w:hAnsiTheme="minorHAnsi"/>
          <w:b/>
          <w:sz w:val="22"/>
          <w:szCs w:val="22"/>
          <w:vertAlign w:val="subscript"/>
        </w:rPr>
        <w:t>S/W</w:t>
      </w:r>
      <w:r w:rsidRPr="0060046F">
        <w:rPr>
          <w:rFonts w:asciiTheme="minorHAnsi" w:hAnsiTheme="minorHAnsi"/>
          <w:sz w:val="22"/>
          <w:szCs w:val="22"/>
        </w:rPr>
        <w:tab/>
        <w:t xml:space="preserve">reprezentuje celkový průměr indexů </w:t>
      </w:r>
      <w:proofErr w:type="spellStart"/>
      <w:r w:rsidRPr="0060046F">
        <w:rPr>
          <w:rFonts w:asciiTheme="minorHAnsi" w:hAnsiTheme="minorHAnsi"/>
          <w:sz w:val="22"/>
          <w:szCs w:val="22"/>
        </w:rPr>
        <w:t>winter</w:t>
      </w:r>
      <w:proofErr w:type="spellEnd"/>
      <w:r w:rsidRPr="0060046F">
        <w:rPr>
          <w:rFonts w:asciiTheme="minorHAnsi" w:hAnsiTheme="minorHAnsi"/>
          <w:sz w:val="22"/>
          <w:szCs w:val="22"/>
        </w:rPr>
        <w:t xml:space="preserve"> </w:t>
      </w:r>
      <w:proofErr w:type="spellStart"/>
      <w:r w:rsidRPr="0060046F">
        <w:rPr>
          <w:rFonts w:asciiTheme="minorHAnsi" w:hAnsiTheme="minorHAnsi"/>
          <w:sz w:val="22"/>
          <w:szCs w:val="22"/>
        </w:rPr>
        <w:t>bid</w:t>
      </w:r>
      <w:proofErr w:type="spellEnd"/>
      <w:r w:rsidRPr="0060046F">
        <w:rPr>
          <w:rFonts w:asciiTheme="minorHAnsi" w:hAnsiTheme="minorHAnsi"/>
          <w:sz w:val="22"/>
          <w:szCs w:val="22"/>
        </w:rPr>
        <w:t xml:space="preserve"> (W</w:t>
      </w:r>
      <w:r w:rsidRPr="0060046F">
        <w:rPr>
          <w:rFonts w:asciiTheme="minorHAnsi" w:hAnsiTheme="minorHAnsi"/>
          <w:sz w:val="22"/>
          <w:szCs w:val="22"/>
          <w:vertAlign w:val="subscript"/>
        </w:rPr>
        <w:t>B</w:t>
      </w:r>
      <w:r w:rsidRPr="0060046F">
        <w:rPr>
          <w:rFonts w:asciiTheme="minorHAnsi" w:hAnsiTheme="minorHAnsi"/>
          <w:sz w:val="22"/>
          <w:szCs w:val="22"/>
        </w:rPr>
        <w:t xml:space="preserve">) minus </w:t>
      </w:r>
      <w:proofErr w:type="spellStart"/>
      <w:r w:rsidRPr="0060046F">
        <w:rPr>
          <w:rFonts w:asciiTheme="minorHAnsi" w:hAnsiTheme="minorHAnsi"/>
          <w:sz w:val="22"/>
          <w:szCs w:val="22"/>
        </w:rPr>
        <w:t>summer</w:t>
      </w:r>
      <w:proofErr w:type="spellEnd"/>
      <w:r w:rsidRPr="0060046F">
        <w:rPr>
          <w:rFonts w:asciiTheme="minorHAnsi" w:hAnsiTheme="minorHAnsi"/>
          <w:sz w:val="22"/>
          <w:szCs w:val="22"/>
        </w:rPr>
        <w:t xml:space="preserve"> </w:t>
      </w:r>
      <w:proofErr w:type="spellStart"/>
      <w:r w:rsidRPr="0060046F">
        <w:rPr>
          <w:rFonts w:asciiTheme="minorHAnsi" w:hAnsiTheme="minorHAnsi"/>
          <w:sz w:val="22"/>
          <w:szCs w:val="22"/>
        </w:rPr>
        <w:t>offer</w:t>
      </w:r>
      <w:proofErr w:type="spellEnd"/>
      <w:r w:rsidRPr="0060046F">
        <w:rPr>
          <w:rFonts w:asciiTheme="minorHAnsi" w:hAnsiTheme="minorHAnsi"/>
          <w:sz w:val="22"/>
          <w:szCs w:val="22"/>
        </w:rPr>
        <w:t xml:space="preserve"> (S</w:t>
      </w:r>
      <w:r w:rsidRPr="0060046F">
        <w:rPr>
          <w:rFonts w:asciiTheme="minorHAnsi" w:hAnsiTheme="minorHAnsi"/>
          <w:sz w:val="22"/>
          <w:szCs w:val="22"/>
          <w:vertAlign w:val="subscript"/>
        </w:rPr>
        <w:t>O</w:t>
      </w:r>
      <w:r w:rsidRPr="0060046F">
        <w:rPr>
          <w:rFonts w:asciiTheme="minorHAnsi" w:hAnsiTheme="minorHAnsi"/>
          <w:sz w:val="22"/>
          <w:szCs w:val="22"/>
        </w:rPr>
        <w:t>) pro</w:t>
      </w:r>
      <w:r w:rsidR="00CD72B4" w:rsidRPr="0060046F">
        <w:rPr>
          <w:rFonts w:asciiTheme="minorHAnsi" w:hAnsiTheme="minorHAnsi"/>
          <w:sz w:val="22"/>
          <w:szCs w:val="22"/>
        </w:rPr>
        <w:t xml:space="preserve"> </w:t>
      </w:r>
      <w:r w:rsidR="00934C91" w:rsidRPr="0060046F">
        <w:rPr>
          <w:rFonts w:asciiTheme="minorHAnsi" w:hAnsiTheme="minorHAnsi"/>
          <w:sz w:val="22"/>
          <w:szCs w:val="22"/>
        </w:rPr>
        <w:t>rozhodné období</w:t>
      </w:r>
      <w:r w:rsidR="006846F3">
        <w:rPr>
          <w:rFonts w:asciiTheme="minorHAnsi" w:hAnsiTheme="minorHAnsi"/>
          <w:sz w:val="22"/>
          <w:szCs w:val="22"/>
        </w:rPr>
        <w:t xml:space="preserve">, přičemž rozhodnými hodnotami jsou ty </w:t>
      </w:r>
      <w:r w:rsidRPr="0060046F">
        <w:rPr>
          <w:rFonts w:asciiTheme="minorHAnsi" w:hAnsiTheme="minorHAnsi"/>
          <w:sz w:val="22"/>
          <w:szCs w:val="22"/>
        </w:rPr>
        <w:t>vyhlašovan</w:t>
      </w:r>
      <w:r w:rsidR="006846F3">
        <w:rPr>
          <w:rFonts w:asciiTheme="minorHAnsi" w:hAnsiTheme="minorHAnsi"/>
          <w:sz w:val="22"/>
          <w:szCs w:val="22"/>
        </w:rPr>
        <w:t>é</w:t>
      </w:r>
      <w:r w:rsidRPr="0060046F">
        <w:rPr>
          <w:rFonts w:asciiTheme="minorHAnsi" w:hAnsiTheme="minorHAnsi"/>
          <w:sz w:val="22"/>
          <w:szCs w:val="22"/>
        </w:rPr>
        <w:t xml:space="preserve"> v Reportu uveřejněném v Heren </w:t>
      </w:r>
      <w:proofErr w:type="spellStart"/>
      <w:r w:rsidRPr="0060046F">
        <w:rPr>
          <w:rFonts w:asciiTheme="minorHAnsi" w:hAnsiTheme="minorHAnsi"/>
          <w:sz w:val="22"/>
          <w:szCs w:val="22"/>
        </w:rPr>
        <w:t>European</w:t>
      </w:r>
      <w:proofErr w:type="spellEnd"/>
      <w:r w:rsidRPr="0060046F">
        <w:rPr>
          <w:rFonts w:asciiTheme="minorHAnsi" w:hAnsiTheme="minorHAnsi"/>
          <w:sz w:val="22"/>
          <w:szCs w:val="22"/>
        </w:rPr>
        <w:t xml:space="preserve"> Spot Gas </w:t>
      </w:r>
      <w:proofErr w:type="spellStart"/>
      <w:r w:rsidRPr="0060046F">
        <w:rPr>
          <w:rFonts w:asciiTheme="minorHAnsi" w:hAnsiTheme="minorHAnsi"/>
          <w:sz w:val="22"/>
          <w:szCs w:val="22"/>
        </w:rPr>
        <w:t>Markets</w:t>
      </w:r>
      <w:proofErr w:type="spellEnd"/>
      <w:r w:rsidRPr="0060046F">
        <w:rPr>
          <w:rFonts w:asciiTheme="minorHAnsi" w:hAnsiTheme="minorHAnsi"/>
          <w:sz w:val="22"/>
          <w:szCs w:val="22"/>
        </w:rPr>
        <w:t>/</w:t>
      </w:r>
      <w:proofErr w:type="spellStart"/>
      <w:r w:rsidRPr="0060046F">
        <w:rPr>
          <w:rFonts w:asciiTheme="minorHAnsi" w:hAnsiTheme="minorHAnsi"/>
          <w:sz w:val="22"/>
          <w:szCs w:val="22"/>
        </w:rPr>
        <w:t>Germany</w:t>
      </w:r>
      <w:proofErr w:type="spellEnd"/>
      <w:r w:rsidRPr="0060046F">
        <w:rPr>
          <w:rFonts w:asciiTheme="minorHAnsi" w:hAnsiTheme="minorHAnsi"/>
          <w:sz w:val="22"/>
          <w:szCs w:val="22"/>
        </w:rPr>
        <w:t xml:space="preserve">/NCG </w:t>
      </w:r>
      <w:proofErr w:type="spellStart"/>
      <w:r w:rsidRPr="0060046F">
        <w:rPr>
          <w:rFonts w:asciiTheme="minorHAnsi" w:hAnsiTheme="minorHAnsi"/>
          <w:sz w:val="22"/>
          <w:szCs w:val="22"/>
        </w:rPr>
        <w:t>Price</w:t>
      </w:r>
      <w:proofErr w:type="spellEnd"/>
      <w:r w:rsidRPr="0060046F">
        <w:rPr>
          <w:rFonts w:asciiTheme="minorHAnsi" w:hAnsiTheme="minorHAnsi"/>
          <w:sz w:val="22"/>
          <w:szCs w:val="22"/>
        </w:rPr>
        <w:t xml:space="preserve"> </w:t>
      </w:r>
      <w:proofErr w:type="spellStart"/>
      <w:r w:rsidRPr="0060046F">
        <w:rPr>
          <w:rFonts w:asciiTheme="minorHAnsi" w:hAnsiTheme="minorHAnsi"/>
          <w:sz w:val="22"/>
          <w:szCs w:val="22"/>
        </w:rPr>
        <w:t>Asse</w:t>
      </w:r>
      <w:r w:rsidR="006E252C">
        <w:rPr>
          <w:rFonts w:asciiTheme="minorHAnsi" w:hAnsiTheme="minorHAnsi"/>
          <w:sz w:val="22"/>
          <w:szCs w:val="22"/>
        </w:rPr>
        <w:t>s</w:t>
      </w:r>
      <w:r w:rsidRPr="0060046F">
        <w:rPr>
          <w:rFonts w:asciiTheme="minorHAnsi" w:hAnsiTheme="minorHAnsi"/>
          <w:sz w:val="22"/>
          <w:szCs w:val="22"/>
        </w:rPr>
        <w:t>sment</w:t>
      </w:r>
      <w:proofErr w:type="spellEnd"/>
      <w:r w:rsidRPr="0060046F">
        <w:rPr>
          <w:rFonts w:asciiTheme="minorHAnsi" w:hAnsiTheme="minorHAnsi"/>
          <w:sz w:val="22"/>
          <w:szCs w:val="22"/>
        </w:rPr>
        <w:t xml:space="preserve"> (ICIS) k danému dni v rozhodném období, určen</w:t>
      </w:r>
      <w:r w:rsidR="006846F3">
        <w:rPr>
          <w:rFonts w:asciiTheme="minorHAnsi" w:hAnsiTheme="minorHAnsi"/>
          <w:sz w:val="22"/>
          <w:szCs w:val="22"/>
        </w:rPr>
        <w:t>o</w:t>
      </w:r>
      <w:r w:rsidRPr="0060046F">
        <w:rPr>
          <w:rFonts w:asciiTheme="minorHAnsi" w:hAnsiTheme="minorHAnsi"/>
          <w:sz w:val="22"/>
          <w:szCs w:val="22"/>
        </w:rPr>
        <w:t xml:space="preserve"> v Kč / </w:t>
      </w:r>
      <w:proofErr w:type="spellStart"/>
      <w:r w:rsidRPr="0060046F">
        <w:rPr>
          <w:rFonts w:asciiTheme="minorHAnsi" w:hAnsiTheme="minorHAnsi"/>
          <w:sz w:val="22"/>
          <w:szCs w:val="22"/>
        </w:rPr>
        <w:t>MWh</w:t>
      </w:r>
      <w:proofErr w:type="spellEnd"/>
      <w:r w:rsidRPr="0060046F">
        <w:rPr>
          <w:rFonts w:asciiTheme="minorHAnsi" w:hAnsiTheme="minorHAnsi"/>
          <w:sz w:val="22"/>
          <w:szCs w:val="22"/>
        </w:rPr>
        <w:t xml:space="preserve">, </w:t>
      </w:r>
      <w:r w:rsidR="006846F3">
        <w:rPr>
          <w:rFonts w:asciiTheme="minorHAnsi" w:hAnsiTheme="minorHAnsi"/>
          <w:sz w:val="22"/>
          <w:szCs w:val="22"/>
        </w:rPr>
        <w:t>a dále při těchto podmínkách</w:t>
      </w:r>
      <w:r w:rsidRPr="0060046F">
        <w:rPr>
          <w:rFonts w:asciiTheme="minorHAnsi" w:hAnsiTheme="minorHAnsi"/>
          <w:sz w:val="22"/>
          <w:szCs w:val="22"/>
        </w:rPr>
        <w:t>:</w:t>
      </w:r>
    </w:p>
    <w:p w:rsidR="006846F3" w:rsidRPr="00BD17EA" w:rsidRDefault="006847B9" w:rsidP="006E252C">
      <w:pPr>
        <w:pStyle w:val="Default"/>
        <w:numPr>
          <w:ilvl w:val="0"/>
          <w:numId w:val="22"/>
        </w:numPr>
        <w:spacing w:line="276" w:lineRule="auto"/>
        <w:jc w:val="both"/>
        <w:rPr>
          <w:rFonts w:asciiTheme="minorHAnsi" w:hAnsiTheme="minorHAnsi"/>
          <w:sz w:val="22"/>
          <w:szCs w:val="22"/>
        </w:rPr>
      </w:pPr>
      <w:r w:rsidRPr="0060046F">
        <w:rPr>
          <w:rFonts w:asciiTheme="minorHAnsi" w:hAnsiTheme="minorHAnsi"/>
          <w:sz w:val="22"/>
          <w:szCs w:val="22"/>
        </w:rPr>
        <w:t>rozhodným obdobím se rozumí prvních pět pracovních dnů</w:t>
      </w:r>
      <w:r w:rsidR="00D33E92">
        <w:rPr>
          <w:rFonts w:asciiTheme="minorHAnsi" w:hAnsiTheme="minorHAnsi"/>
          <w:sz w:val="22"/>
          <w:szCs w:val="22"/>
        </w:rPr>
        <w:t xml:space="preserve"> (</w:t>
      </w:r>
      <w:r w:rsidR="00D33E92">
        <w:rPr>
          <w:sz w:val="23"/>
          <w:szCs w:val="23"/>
        </w:rPr>
        <w:t>pro které jsou dostupné výše uvedené hodnoty v </w:t>
      </w:r>
      <w:proofErr w:type="gramStart"/>
      <w:r w:rsidR="00D33E92">
        <w:rPr>
          <w:sz w:val="23"/>
          <w:szCs w:val="23"/>
        </w:rPr>
        <w:t>Heren</w:t>
      </w:r>
      <w:proofErr w:type="gramEnd"/>
      <w:r w:rsidR="00D33E92">
        <w:rPr>
          <w:sz w:val="23"/>
          <w:szCs w:val="23"/>
        </w:rPr>
        <w:t xml:space="preserve"> </w:t>
      </w:r>
      <w:r w:rsidR="00D33E92" w:rsidRPr="00BD17EA">
        <w:rPr>
          <w:sz w:val="23"/>
          <w:szCs w:val="23"/>
        </w:rPr>
        <w:t>report</w:t>
      </w:r>
      <w:r w:rsidR="00D33E92">
        <w:rPr>
          <w:sz w:val="23"/>
          <w:szCs w:val="23"/>
        </w:rPr>
        <w:t>)</w:t>
      </w:r>
      <w:r w:rsidRPr="0060046F">
        <w:rPr>
          <w:rFonts w:asciiTheme="minorHAnsi" w:hAnsiTheme="minorHAnsi"/>
          <w:sz w:val="22"/>
          <w:szCs w:val="22"/>
        </w:rPr>
        <w:t xml:space="preserve"> každého ze čtyř měsíců předcházejících prvnímu dni skladovacího roku </w:t>
      </w:r>
      <w:r w:rsidR="006E252C" w:rsidRPr="006E252C">
        <w:rPr>
          <w:rFonts w:asciiTheme="minorHAnsi" w:hAnsiTheme="minorHAnsi"/>
          <w:sz w:val="22"/>
          <w:szCs w:val="22"/>
        </w:rPr>
        <w:t>(pro vyhlášenou aukci jsou proto rozhodné měsíce Prosinec 2016, Leden – Březen 2017)</w:t>
      </w:r>
      <w:r w:rsidRPr="0060046F">
        <w:rPr>
          <w:rFonts w:asciiTheme="minorHAnsi" w:hAnsiTheme="minorHAnsi"/>
          <w:sz w:val="22"/>
          <w:szCs w:val="22"/>
        </w:rPr>
        <w:t>,</w:t>
      </w:r>
    </w:p>
    <w:p w:rsidR="006847B9" w:rsidRPr="0060046F" w:rsidRDefault="006847B9" w:rsidP="0060046F">
      <w:pPr>
        <w:pStyle w:val="Default"/>
        <w:numPr>
          <w:ilvl w:val="0"/>
          <w:numId w:val="22"/>
        </w:numPr>
        <w:spacing w:line="276" w:lineRule="auto"/>
        <w:jc w:val="both"/>
        <w:rPr>
          <w:rFonts w:asciiTheme="minorHAnsi" w:hAnsiTheme="minorHAnsi"/>
          <w:sz w:val="22"/>
          <w:szCs w:val="22"/>
        </w:rPr>
      </w:pPr>
      <w:r w:rsidRPr="0060046F">
        <w:rPr>
          <w:rFonts w:asciiTheme="minorHAnsi" w:hAnsiTheme="minorHAnsi"/>
          <w:sz w:val="22"/>
          <w:szCs w:val="22"/>
        </w:rPr>
        <w:t>pro přepočet hodnot stanovených v </w:t>
      </w:r>
      <w:proofErr w:type="gramStart"/>
      <w:r w:rsidRPr="0060046F">
        <w:rPr>
          <w:rFonts w:asciiTheme="minorHAnsi" w:hAnsiTheme="minorHAnsi"/>
          <w:sz w:val="22"/>
          <w:szCs w:val="22"/>
        </w:rPr>
        <w:t>EUR</w:t>
      </w:r>
      <w:proofErr w:type="gramEnd"/>
      <w:r w:rsidRPr="0060046F">
        <w:rPr>
          <w:rFonts w:asciiTheme="minorHAnsi" w:hAnsiTheme="minorHAnsi"/>
          <w:sz w:val="22"/>
          <w:szCs w:val="22"/>
        </w:rPr>
        <w:t xml:space="preserve"> bude použit</w:t>
      </w:r>
      <w:r w:rsidR="00934C91" w:rsidRPr="0060046F">
        <w:rPr>
          <w:rFonts w:asciiTheme="minorHAnsi" w:hAnsiTheme="minorHAnsi"/>
          <w:sz w:val="22"/>
          <w:szCs w:val="22"/>
        </w:rPr>
        <w:t xml:space="preserve"> denní</w:t>
      </w:r>
      <w:r w:rsidRPr="0060046F">
        <w:rPr>
          <w:rFonts w:asciiTheme="minorHAnsi" w:hAnsiTheme="minorHAnsi"/>
          <w:sz w:val="22"/>
          <w:szCs w:val="22"/>
        </w:rPr>
        <w:t xml:space="preserve"> kurz vyhlašovaný ČNB pro každý příslušný den</w:t>
      </w:r>
      <w:r w:rsidR="008C7530">
        <w:rPr>
          <w:rFonts w:asciiTheme="minorHAnsi" w:hAnsiTheme="minorHAnsi"/>
          <w:sz w:val="22"/>
          <w:szCs w:val="22"/>
        </w:rPr>
        <w:t xml:space="preserve">, </w:t>
      </w:r>
      <w:r w:rsidR="008C7530">
        <w:rPr>
          <w:sz w:val="23"/>
          <w:szCs w:val="23"/>
        </w:rPr>
        <w:t xml:space="preserve">v němž budou určovány indexy </w:t>
      </w:r>
      <w:proofErr w:type="spellStart"/>
      <w:r w:rsidR="008C7530" w:rsidRPr="00F73C8D">
        <w:rPr>
          <w:sz w:val="23"/>
          <w:szCs w:val="23"/>
        </w:rPr>
        <w:t>winter</w:t>
      </w:r>
      <w:proofErr w:type="spellEnd"/>
      <w:r w:rsidR="008C7530" w:rsidRPr="00F73C8D">
        <w:rPr>
          <w:sz w:val="23"/>
          <w:szCs w:val="23"/>
        </w:rPr>
        <w:t xml:space="preserve"> </w:t>
      </w:r>
      <w:proofErr w:type="spellStart"/>
      <w:r w:rsidR="008C7530" w:rsidRPr="00F73C8D">
        <w:rPr>
          <w:sz w:val="23"/>
          <w:szCs w:val="23"/>
        </w:rPr>
        <w:t>bid</w:t>
      </w:r>
      <w:proofErr w:type="spellEnd"/>
      <w:r w:rsidR="008C7530" w:rsidRPr="00F73C8D">
        <w:rPr>
          <w:sz w:val="23"/>
          <w:szCs w:val="23"/>
        </w:rPr>
        <w:t xml:space="preserve"> </w:t>
      </w:r>
      <w:r w:rsidR="008C7530">
        <w:rPr>
          <w:sz w:val="23"/>
          <w:szCs w:val="23"/>
        </w:rPr>
        <w:t>(W</w:t>
      </w:r>
      <w:r w:rsidR="008C7530" w:rsidRPr="00EB2B27">
        <w:rPr>
          <w:sz w:val="23"/>
          <w:szCs w:val="23"/>
          <w:vertAlign w:val="subscript"/>
        </w:rPr>
        <w:t>B</w:t>
      </w:r>
      <w:r w:rsidR="008C7530">
        <w:rPr>
          <w:sz w:val="23"/>
          <w:szCs w:val="23"/>
        </w:rPr>
        <w:t xml:space="preserve">) a </w:t>
      </w:r>
      <w:proofErr w:type="spellStart"/>
      <w:r w:rsidR="008C7530" w:rsidRPr="00F73C8D">
        <w:rPr>
          <w:sz w:val="23"/>
          <w:szCs w:val="23"/>
        </w:rPr>
        <w:t>summer</w:t>
      </w:r>
      <w:proofErr w:type="spellEnd"/>
      <w:r w:rsidR="008C7530" w:rsidRPr="00F73C8D">
        <w:rPr>
          <w:sz w:val="23"/>
          <w:szCs w:val="23"/>
        </w:rPr>
        <w:t xml:space="preserve"> </w:t>
      </w:r>
      <w:proofErr w:type="spellStart"/>
      <w:r w:rsidR="008C7530" w:rsidRPr="00F73C8D">
        <w:rPr>
          <w:sz w:val="23"/>
          <w:szCs w:val="23"/>
        </w:rPr>
        <w:t>offer</w:t>
      </w:r>
      <w:proofErr w:type="spellEnd"/>
      <w:r w:rsidR="008C7530" w:rsidRPr="00F73C8D">
        <w:rPr>
          <w:sz w:val="23"/>
          <w:szCs w:val="23"/>
        </w:rPr>
        <w:t xml:space="preserve"> </w:t>
      </w:r>
      <w:r w:rsidR="008C7530">
        <w:rPr>
          <w:sz w:val="23"/>
          <w:szCs w:val="23"/>
        </w:rPr>
        <w:t>(S</w:t>
      </w:r>
      <w:r w:rsidR="008C7530" w:rsidRPr="00EB2B27">
        <w:rPr>
          <w:sz w:val="23"/>
          <w:szCs w:val="23"/>
          <w:vertAlign w:val="subscript"/>
        </w:rPr>
        <w:t>O</w:t>
      </w:r>
      <w:r w:rsidR="008C7530">
        <w:rPr>
          <w:sz w:val="23"/>
          <w:szCs w:val="23"/>
        </w:rPr>
        <w:t>)</w:t>
      </w:r>
      <w:r w:rsidR="00934C91" w:rsidRPr="0060046F">
        <w:rPr>
          <w:rFonts w:asciiTheme="minorHAnsi" w:hAnsiTheme="minorHAnsi"/>
          <w:sz w:val="22"/>
          <w:szCs w:val="22"/>
        </w:rPr>
        <w:t xml:space="preserve"> (pokud není denní kurz k dispozici, použije se hodnota denního kurzu v nejbližším bezprostředně předcházejícím dni, kdy byla hodnota denního kurzu publikována)</w:t>
      </w:r>
      <w:r w:rsidRPr="0060046F">
        <w:rPr>
          <w:rFonts w:asciiTheme="minorHAnsi" w:hAnsiTheme="minorHAnsi"/>
          <w:sz w:val="22"/>
          <w:szCs w:val="22"/>
        </w:rPr>
        <w:t xml:space="preserve">, přepočet nebude zaokrouhlen,  </w:t>
      </w:r>
    </w:p>
    <w:p w:rsidR="006847B9" w:rsidRPr="0060046F" w:rsidRDefault="006847B9" w:rsidP="0060046F">
      <w:pPr>
        <w:pStyle w:val="Default"/>
        <w:numPr>
          <w:ilvl w:val="0"/>
          <w:numId w:val="22"/>
        </w:numPr>
        <w:spacing w:line="276" w:lineRule="auto"/>
        <w:jc w:val="both"/>
        <w:rPr>
          <w:rFonts w:asciiTheme="minorHAnsi" w:hAnsiTheme="minorHAnsi"/>
          <w:sz w:val="22"/>
          <w:szCs w:val="22"/>
        </w:rPr>
      </w:pPr>
      <w:r w:rsidRPr="0060046F">
        <w:rPr>
          <w:rFonts w:asciiTheme="minorHAnsi" w:hAnsiTheme="minorHAnsi"/>
          <w:sz w:val="22"/>
          <w:szCs w:val="22"/>
        </w:rPr>
        <w:lastRenderedPageBreak/>
        <w:t xml:space="preserve">celkový průměrů indexů rozhodných období bude </w:t>
      </w:r>
      <w:r w:rsidR="00823735">
        <w:rPr>
          <w:rFonts w:asciiTheme="minorHAnsi" w:hAnsiTheme="minorHAnsi"/>
          <w:sz w:val="22"/>
          <w:szCs w:val="22"/>
        </w:rPr>
        <w:t xml:space="preserve">po </w:t>
      </w:r>
      <w:r w:rsidR="00823735" w:rsidRPr="00823735">
        <w:rPr>
          <w:rFonts w:asciiTheme="minorHAnsi" w:hAnsiTheme="minorHAnsi"/>
          <w:sz w:val="22"/>
          <w:szCs w:val="22"/>
        </w:rPr>
        <w:t>propočtu</w:t>
      </w:r>
      <w:r w:rsidR="00823735">
        <w:rPr>
          <w:rFonts w:asciiTheme="minorHAnsi" w:hAnsiTheme="minorHAnsi"/>
          <w:sz w:val="22"/>
          <w:szCs w:val="22"/>
          <w:lang w:val="sk-SK"/>
        </w:rPr>
        <w:t xml:space="preserve"> na Kč </w:t>
      </w:r>
      <w:r w:rsidRPr="0060046F">
        <w:rPr>
          <w:rFonts w:asciiTheme="minorHAnsi" w:hAnsiTheme="minorHAnsi"/>
          <w:sz w:val="22"/>
          <w:szCs w:val="22"/>
        </w:rPr>
        <w:t>zaokrouhlen směrem nahoru tak, aby byl výsledek zaokrouhlení dělitelný bezezbytku 0,5;</w:t>
      </w:r>
    </w:p>
    <w:p w:rsidR="00934C91" w:rsidRPr="0060046F" w:rsidRDefault="006847B9" w:rsidP="007A69AA">
      <w:pPr>
        <w:pStyle w:val="Default"/>
        <w:spacing w:before="120" w:line="276" w:lineRule="auto"/>
        <w:ind w:left="993" w:hanging="705"/>
        <w:jc w:val="both"/>
        <w:rPr>
          <w:rFonts w:asciiTheme="minorHAnsi" w:hAnsiTheme="minorHAnsi"/>
          <w:sz w:val="22"/>
          <w:szCs w:val="22"/>
        </w:rPr>
      </w:pPr>
      <w:r w:rsidRPr="0060046F">
        <w:rPr>
          <w:rFonts w:asciiTheme="minorHAnsi" w:hAnsiTheme="minorHAnsi"/>
          <w:sz w:val="22"/>
          <w:szCs w:val="22"/>
        </w:rPr>
        <w:tab/>
      </w:r>
      <w:proofErr w:type="gramStart"/>
      <w:r w:rsidRPr="0060046F">
        <w:rPr>
          <w:rFonts w:asciiTheme="minorHAnsi" w:hAnsiTheme="minorHAnsi"/>
          <w:b/>
          <w:sz w:val="22"/>
          <w:szCs w:val="22"/>
        </w:rPr>
        <w:t>K</w:t>
      </w:r>
      <w:r w:rsidRPr="0060046F">
        <w:rPr>
          <w:rFonts w:asciiTheme="minorHAnsi" w:hAnsiTheme="minorHAnsi"/>
          <w:sz w:val="22"/>
          <w:szCs w:val="22"/>
        </w:rPr>
        <w:t> </w:t>
      </w:r>
      <w:r w:rsidRPr="0060046F">
        <w:rPr>
          <w:rFonts w:asciiTheme="minorHAnsi" w:hAnsiTheme="minorHAnsi"/>
          <w:sz w:val="22"/>
          <w:szCs w:val="22"/>
        </w:rPr>
        <w:tab/>
        <w:t>reprezentuje</w:t>
      </w:r>
      <w:proofErr w:type="gramEnd"/>
      <w:r w:rsidRPr="0060046F">
        <w:rPr>
          <w:rFonts w:asciiTheme="minorHAnsi" w:hAnsiTheme="minorHAnsi"/>
          <w:sz w:val="22"/>
          <w:szCs w:val="22"/>
        </w:rPr>
        <w:t xml:space="preserve"> koeficient, jenž byl dosáhnut jako výsledek aukce </w:t>
      </w:r>
      <w:r w:rsidR="00CD72B4" w:rsidRPr="0060046F">
        <w:rPr>
          <w:rFonts w:asciiTheme="minorHAnsi" w:hAnsiTheme="minorHAnsi"/>
          <w:sz w:val="22"/>
          <w:szCs w:val="22"/>
        </w:rPr>
        <w:t>na hodnotě</w:t>
      </w:r>
      <w:r w:rsidRPr="0060046F">
        <w:rPr>
          <w:rFonts w:asciiTheme="minorHAnsi" w:hAnsiTheme="minorHAnsi"/>
          <w:sz w:val="22"/>
          <w:szCs w:val="22"/>
        </w:rPr>
        <w:t xml:space="preserve"> [</w:t>
      </w:r>
      <w:r w:rsidRPr="0060046F">
        <w:rPr>
          <w:rFonts w:asciiTheme="minorHAnsi" w:hAnsiTheme="minorHAnsi"/>
          <w:sz w:val="22"/>
          <w:szCs w:val="22"/>
          <w:highlight w:val="yellow"/>
        </w:rPr>
        <w:t>●</w:t>
      </w:r>
      <w:r w:rsidRPr="0060046F">
        <w:rPr>
          <w:rFonts w:asciiTheme="minorHAnsi" w:hAnsiTheme="minorHAnsi"/>
          <w:sz w:val="22"/>
          <w:szCs w:val="22"/>
        </w:rPr>
        <w:t>] Kč/</w:t>
      </w:r>
      <w:proofErr w:type="spellStart"/>
      <w:r w:rsidRPr="0060046F">
        <w:rPr>
          <w:rFonts w:asciiTheme="minorHAnsi" w:hAnsiTheme="minorHAnsi"/>
          <w:sz w:val="22"/>
          <w:szCs w:val="22"/>
        </w:rPr>
        <w:t>MWh</w:t>
      </w:r>
      <w:proofErr w:type="spellEnd"/>
      <w:r w:rsidRPr="0060046F">
        <w:rPr>
          <w:rFonts w:asciiTheme="minorHAnsi" w:hAnsiTheme="minorHAnsi"/>
          <w:sz w:val="22"/>
          <w:szCs w:val="22"/>
        </w:rPr>
        <w:t xml:space="preserve"> </w:t>
      </w:r>
      <w:r w:rsidRPr="0060046F">
        <w:rPr>
          <w:rFonts w:asciiTheme="minorHAnsi" w:hAnsiTheme="minorHAnsi"/>
          <w:sz w:val="22"/>
          <w:szCs w:val="22"/>
        </w:rPr>
        <w:tab/>
        <w:t xml:space="preserve">(slovy: </w:t>
      </w:r>
      <w:r w:rsidRPr="0060046F">
        <w:rPr>
          <w:rFonts w:asciiTheme="minorHAnsi" w:hAnsiTheme="minorHAnsi"/>
          <w:sz w:val="22"/>
          <w:szCs w:val="22"/>
        </w:rPr>
        <w:tab/>
        <w:t>[</w:t>
      </w:r>
      <w:r w:rsidRPr="0060046F">
        <w:rPr>
          <w:rFonts w:asciiTheme="minorHAnsi" w:hAnsiTheme="minorHAnsi"/>
          <w:sz w:val="22"/>
          <w:szCs w:val="22"/>
          <w:highlight w:val="yellow"/>
        </w:rPr>
        <w:t>●</w:t>
      </w:r>
      <w:r w:rsidRPr="0060046F">
        <w:rPr>
          <w:rFonts w:asciiTheme="minorHAnsi" w:hAnsiTheme="minorHAnsi"/>
          <w:sz w:val="22"/>
          <w:szCs w:val="22"/>
        </w:rPr>
        <w:t>] korun českých za jednu megawatthodinu).</w:t>
      </w:r>
    </w:p>
    <w:p w:rsidR="00412C24" w:rsidRPr="0060046F" w:rsidRDefault="0060046F" w:rsidP="007A69AA">
      <w:pPr>
        <w:pStyle w:val="Default"/>
        <w:spacing w:before="120" w:line="276" w:lineRule="auto"/>
        <w:ind w:left="993"/>
        <w:jc w:val="both"/>
        <w:rPr>
          <w:rFonts w:asciiTheme="minorHAnsi" w:hAnsiTheme="minorHAnsi"/>
          <w:sz w:val="22"/>
          <w:szCs w:val="22"/>
        </w:rPr>
      </w:pPr>
      <w:r>
        <w:rPr>
          <w:rFonts w:asciiTheme="minorHAnsi" w:hAnsiTheme="minorHAnsi"/>
          <w:sz w:val="22"/>
          <w:szCs w:val="22"/>
        </w:rPr>
        <w:t>Roční cena za uskladnění plynu se určí jako součin</w:t>
      </w:r>
      <w:r w:rsidR="006846F3">
        <w:rPr>
          <w:rFonts w:asciiTheme="minorHAnsi" w:hAnsiTheme="minorHAnsi"/>
          <w:sz w:val="22"/>
          <w:szCs w:val="22"/>
        </w:rPr>
        <w:t xml:space="preserve"> vypočtené </w:t>
      </w:r>
      <w:r w:rsidR="00B10B5D">
        <w:rPr>
          <w:rFonts w:asciiTheme="minorHAnsi" w:hAnsiTheme="minorHAnsi"/>
          <w:sz w:val="22"/>
          <w:szCs w:val="22"/>
        </w:rPr>
        <w:t>jednotkové ceny a rezervované</w:t>
      </w:r>
      <w:r w:rsidR="006846F3">
        <w:rPr>
          <w:rFonts w:asciiTheme="minorHAnsi" w:hAnsiTheme="minorHAnsi"/>
          <w:sz w:val="22"/>
          <w:szCs w:val="22"/>
        </w:rPr>
        <w:t xml:space="preserve"> skla</w:t>
      </w:r>
      <w:r w:rsidR="00B10B5D">
        <w:rPr>
          <w:rFonts w:asciiTheme="minorHAnsi" w:hAnsiTheme="minorHAnsi"/>
          <w:sz w:val="22"/>
          <w:szCs w:val="22"/>
        </w:rPr>
        <w:t>dovací kapacity uvedené v čl. III</w:t>
      </w:r>
      <w:r w:rsidR="007A69AA">
        <w:rPr>
          <w:rFonts w:asciiTheme="minorHAnsi" w:hAnsiTheme="minorHAnsi"/>
          <w:sz w:val="22"/>
          <w:szCs w:val="22"/>
        </w:rPr>
        <w:t>.</w:t>
      </w:r>
      <w:r w:rsidR="00B10B5D">
        <w:rPr>
          <w:rFonts w:asciiTheme="minorHAnsi" w:hAnsiTheme="minorHAnsi"/>
          <w:sz w:val="22"/>
          <w:szCs w:val="22"/>
        </w:rPr>
        <w:t xml:space="preserve"> odst. 1 Smlouvy.</w:t>
      </w:r>
    </w:p>
    <w:p w:rsidR="00CD72B4" w:rsidRPr="0060046F" w:rsidRDefault="00B10B5D" w:rsidP="007A69AA">
      <w:pPr>
        <w:pStyle w:val="Odstavecseseznamem"/>
        <w:numPr>
          <w:ilvl w:val="1"/>
          <w:numId w:val="20"/>
        </w:numPr>
        <w:tabs>
          <w:tab w:val="clear" w:pos="1440"/>
        </w:tabs>
        <w:spacing w:before="120" w:after="60"/>
        <w:ind w:left="993"/>
        <w:rPr>
          <w:rFonts w:asciiTheme="minorHAnsi" w:hAnsiTheme="minorHAnsi"/>
          <w:b/>
        </w:rPr>
      </w:pPr>
      <w:r>
        <w:rPr>
          <w:rFonts w:asciiTheme="minorHAnsi" w:hAnsiTheme="minorHAnsi"/>
          <w:b/>
        </w:rPr>
        <w:t>Poplatek</w:t>
      </w:r>
      <w:r w:rsidR="00CD72B4" w:rsidRPr="0060046F">
        <w:rPr>
          <w:rFonts w:asciiTheme="minorHAnsi" w:hAnsiTheme="minorHAnsi"/>
          <w:b/>
        </w:rPr>
        <w:t xml:space="preserve"> za činnosti spojené s uskladňováním plynu</w:t>
      </w:r>
    </w:p>
    <w:p w:rsidR="00CD72B4" w:rsidRPr="0060046F" w:rsidRDefault="00CD72B4" w:rsidP="0060046F">
      <w:pPr>
        <w:pStyle w:val="Odstavecseseznamem"/>
        <w:spacing w:before="60" w:after="60"/>
        <w:ind w:left="993"/>
        <w:rPr>
          <w:rFonts w:asciiTheme="minorHAnsi" w:hAnsiTheme="minorHAnsi"/>
        </w:rPr>
      </w:pPr>
      <w:r w:rsidRPr="0060046F">
        <w:rPr>
          <w:rFonts w:asciiTheme="minorHAnsi" w:hAnsiTheme="minorHAnsi"/>
        </w:rPr>
        <w:t xml:space="preserve">Roční </w:t>
      </w:r>
      <w:r w:rsidR="00B10B5D">
        <w:rPr>
          <w:rFonts w:asciiTheme="minorHAnsi" w:hAnsiTheme="minorHAnsi"/>
        </w:rPr>
        <w:t>poplatek</w:t>
      </w:r>
      <w:r w:rsidRPr="0060046F">
        <w:rPr>
          <w:rFonts w:asciiTheme="minorHAnsi" w:hAnsiTheme="minorHAnsi"/>
        </w:rPr>
        <w:t xml:space="preserve"> za činnosti související s uskladňováním plynu, je vyjádřen v Kč a vypočte se jako:</w:t>
      </w:r>
    </w:p>
    <w:p w:rsidR="00CD72B4" w:rsidRPr="0060046F" w:rsidRDefault="00B10B5D" w:rsidP="0060046F">
      <w:pPr>
        <w:pStyle w:val="Odstavecseseznamem"/>
        <w:spacing w:before="60" w:after="60"/>
        <w:ind w:left="993"/>
        <w:rPr>
          <w:rFonts w:asciiTheme="minorHAnsi" w:hAnsiTheme="minorHAnsi"/>
        </w:rPr>
      </w:pPr>
      <m:oMathPara>
        <m:oMath>
          <m:r>
            <w:rPr>
              <w:rFonts w:ascii="Cambria Math" w:hAnsi="Cambria Math"/>
            </w:rPr>
            <m:t xml:space="preserve">Pc= </m:t>
          </m:r>
          <m:f>
            <m:fPr>
              <m:ctrlPr>
                <w:rPr>
                  <w:rFonts w:ascii="Cambria Math" w:hAnsi="Cambria Math"/>
                  <w:i/>
                </w:rPr>
              </m:ctrlPr>
            </m:fPr>
            <m:num>
              <m:r>
                <w:rPr>
                  <w:rFonts w:ascii="Cambria Math" w:hAnsi="Cambria Math"/>
                </w:rPr>
                <m:t>C</m:t>
              </m:r>
            </m:num>
            <m:den>
              <m:r>
                <w:rPr>
                  <w:rFonts w:ascii="Cambria Math" w:hAnsi="Cambria Math"/>
                </w:rPr>
                <m:t>DTw</m:t>
              </m:r>
            </m:den>
          </m:f>
          <m:r>
            <w:rPr>
              <w:rFonts w:ascii="Cambria Math" w:hAnsi="Cambria Math"/>
            </w:rPr>
            <m:t>×Dmax</m:t>
          </m:r>
        </m:oMath>
      </m:oMathPara>
    </w:p>
    <w:p w:rsidR="0060046F" w:rsidRDefault="0060046F" w:rsidP="007A69AA">
      <w:pPr>
        <w:pStyle w:val="Odstavecseseznamem"/>
        <w:spacing w:before="120" w:after="60"/>
        <w:ind w:left="993"/>
        <w:rPr>
          <w:rFonts w:asciiTheme="minorHAnsi" w:hAnsiTheme="minorHAnsi"/>
        </w:rPr>
      </w:pPr>
      <w:r w:rsidRPr="0060046F">
        <w:rPr>
          <w:rFonts w:asciiTheme="minorHAnsi" w:hAnsiTheme="minorHAnsi"/>
        </w:rPr>
        <w:t>Kde:</w:t>
      </w:r>
    </w:p>
    <w:p w:rsidR="00B10B5D" w:rsidRDefault="00B10B5D" w:rsidP="007A69AA">
      <w:pPr>
        <w:pStyle w:val="Odstavecseseznamem"/>
        <w:spacing w:before="120" w:after="60"/>
        <w:ind w:left="1701" w:hanging="708"/>
        <w:jc w:val="both"/>
        <w:rPr>
          <w:rFonts w:asciiTheme="minorHAnsi" w:hAnsiTheme="minorHAnsi"/>
          <w:b/>
        </w:rPr>
      </w:pPr>
      <w:proofErr w:type="spellStart"/>
      <w:r>
        <w:rPr>
          <w:rFonts w:asciiTheme="minorHAnsi" w:hAnsiTheme="minorHAnsi"/>
          <w:b/>
        </w:rPr>
        <w:t>Pc</w:t>
      </w:r>
      <w:proofErr w:type="spellEnd"/>
      <w:r>
        <w:rPr>
          <w:rFonts w:asciiTheme="minorHAnsi" w:hAnsiTheme="minorHAnsi"/>
          <w:b/>
        </w:rPr>
        <w:tab/>
      </w:r>
      <w:r w:rsidRPr="00B10B5D">
        <w:rPr>
          <w:rFonts w:asciiTheme="minorHAnsi" w:hAnsiTheme="minorHAnsi"/>
        </w:rPr>
        <w:t>reprezentuje roční poplatek za činnosti spojené s u</w:t>
      </w:r>
      <w:r>
        <w:rPr>
          <w:rFonts w:asciiTheme="minorHAnsi" w:hAnsiTheme="minorHAnsi"/>
        </w:rPr>
        <w:t>s</w:t>
      </w:r>
      <w:r w:rsidRPr="00B10B5D">
        <w:rPr>
          <w:rFonts w:asciiTheme="minorHAnsi" w:hAnsiTheme="minorHAnsi"/>
        </w:rPr>
        <w:t>kladňováním plynu</w:t>
      </w:r>
      <w:r>
        <w:rPr>
          <w:rFonts w:asciiTheme="minorHAnsi" w:hAnsiTheme="minorHAnsi"/>
        </w:rPr>
        <w:t>,</w:t>
      </w:r>
    </w:p>
    <w:p w:rsidR="0060046F" w:rsidRPr="0060046F" w:rsidRDefault="00B10B5D" w:rsidP="0060046F">
      <w:pPr>
        <w:pStyle w:val="Odstavecseseznamem"/>
        <w:spacing w:before="60" w:after="60"/>
        <w:ind w:left="1701" w:hanging="708"/>
        <w:jc w:val="both"/>
        <w:rPr>
          <w:rFonts w:asciiTheme="minorHAnsi" w:hAnsiTheme="minorHAnsi"/>
        </w:rPr>
      </w:pPr>
      <w:r w:rsidRPr="00B10B5D">
        <w:rPr>
          <w:rFonts w:asciiTheme="minorHAnsi" w:hAnsiTheme="minorHAnsi"/>
          <w:b/>
        </w:rPr>
        <w:t>C</w:t>
      </w:r>
      <w:r w:rsidR="0060046F" w:rsidRPr="0060046F">
        <w:rPr>
          <w:rFonts w:asciiTheme="minorHAnsi" w:hAnsiTheme="minorHAnsi"/>
        </w:rPr>
        <w:t> </w:t>
      </w:r>
      <w:r w:rsidR="0060046F" w:rsidRPr="0060046F">
        <w:rPr>
          <w:rFonts w:asciiTheme="minorHAnsi" w:hAnsiTheme="minorHAnsi"/>
        </w:rPr>
        <w:tab/>
        <w:t xml:space="preserve">reprezentuje roční nákladový </w:t>
      </w:r>
      <w:r w:rsidR="00823735">
        <w:rPr>
          <w:rFonts w:asciiTheme="minorHAnsi" w:hAnsiTheme="minorHAnsi"/>
        </w:rPr>
        <w:t>základ</w:t>
      </w:r>
      <w:r w:rsidR="0060046F" w:rsidRPr="0060046F">
        <w:rPr>
          <w:rFonts w:asciiTheme="minorHAnsi" w:hAnsiTheme="minorHAnsi"/>
        </w:rPr>
        <w:t xml:space="preserve"> stanovený na úroveň 12 000 000 Kč</w:t>
      </w:r>
      <w:r w:rsidR="0060046F">
        <w:rPr>
          <w:rFonts w:asciiTheme="minorHAnsi" w:hAnsiTheme="minorHAnsi"/>
        </w:rPr>
        <w:t>,</w:t>
      </w:r>
    </w:p>
    <w:p w:rsidR="0060046F" w:rsidRPr="0060046F" w:rsidRDefault="0060046F" w:rsidP="0060046F">
      <w:pPr>
        <w:pStyle w:val="Odstavecseseznamem"/>
        <w:spacing w:before="120" w:after="60"/>
        <w:ind w:left="1701" w:hanging="708"/>
        <w:jc w:val="both"/>
        <w:rPr>
          <w:rFonts w:asciiTheme="minorHAnsi" w:hAnsiTheme="minorHAnsi"/>
        </w:rPr>
      </w:pPr>
      <w:proofErr w:type="spellStart"/>
      <w:r w:rsidRPr="0060046F">
        <w:rPr>
          <w:rFonts w:asciiTheme="minorHAnsi" w:hAnsiTheme="minorHAnsi"/>
          <w:b/>
        </w:rPr>
        <w:t>DTw</w:t>
      </w:r>
      <w:proofErr w:type="spellEnd"/>
      <w:r w:rsidRPr="0060046F">
        <w:rPr>
          <w:rFonts w:asciiTheme="minorHAnsi" w:hAnsiTheme="minorHAnsi"/>
        </w:rPr>
        <w:t xml:space="preserve"> </w:t>
      </w:r>
      <w:r>
        <w:rPr>
          <w:rFonts w:asciiTheme="minorHAnsi" w:hAnsiTheme="minorHAnsi"/>
        </w:rPr>
        <w:tab/>
      </w:r>
      <w:r w:rsidRPr="0060046F">
        <w:rPr>
          <w:rFonts w:asciiTheme="minorHAnsi" w:hAnsiTheme="minorHAnsi"/>
        </w:rPr>
        <w:t xml:space="preserve">reprezentuje celkový denní maximální těžební výkon skladovatele (pro virtuální zásobník plynu) uveřejněný </w:t>
      </w:r>
      <w:r w:rsidR="001B7690">
        <w:rPr>
          <w:rFonts w:asciiTheme="minorHAnsi" w:hAnsiTheme="minorHAnsi"/>
        </w:rPr>
        <w:t xml:space="preserve">na webových stránkách skladovatele </w:t>
      </w:r>
      <w:r w:rsidRPr="0060046F">
        <w:rPr>
          <w:rFonts w:asciiTheme="minorHAnsi" w:hAnsiTheme="minorHAnsi"/>
        </w:rPr>
        <w:t xml:space="preserve">pro příslušný </w:t>
      </w:r>
      <w:r w:rsidR="003817E2">
        <w:rPr>
          <w:rFonts w:asciiTheme="minorHAnsi" w:hAnsiTheme="minorHAnsi"/>
        </w:rPr>
        <w:t xml:space="preserve">skladovací </w:t>
      </w:r>
      <w:r w:rsidRPr="0060046F">
        <w:rPr>
          <w:rFonts w:asciiTheme="minorHAnsi" w:hAnsiTheme="minorHAnsi"/>
        </w:rPr>
        <w:t>rok, určen v</w:t>
      </w:r>
      <w:r>
        <w:rPr>
          <w:rFonts w:asciiTheme="minorHAnsi" w:hAnsiTheme="minorHAnsi"/>
        </w:rPr>
        <w:t> </w:t>
      </w:r>
      <w:proofErr w:type="spellStart"/>
      <w:r w:rsidR="00CE1AE3">
        <w:rPr>
          <w:rFonts w:asciiTheme="minorHAnsi" w:hAnsiTheme="minorHAnsi"/>
        </w:rPr>
        <w:t>M</w:t>
      </w:r>
      <w:r w:rsidR="00CE1AE3" w:rsidRPr="0060046F">
        <w:rPr>
          <w:rFonts w:asciiTheme="minorHAnsi" w:hAnsiTheme="minorHAnsi"/>
        </w:rPr>
        <w:t>Wh</w:t>
      </w:r>
      <w:proofErr w:type="spellEnd"/>
      <w:r w:rsidR="00CE1AE3">
        <w:rPr>
          <w:rFonts w:asciiTheme="minorHAnsi" w:hAnsiTheme="minorHAnsi"/>
        </w:rPr>
        <w:t xml:space="preserve"> </w:t>
      </w:r>
      <w:r>
        <w:rPr>
          <w:rFonts w:asciiTheme="minorHAnsi" w:hAnsiTheme="minorHAnsi"/>
        </w:rPr>
        <w:t>/ den</w:t>
      </w:r>
      <w:r w:rsidR="00CE1AE3">
        <w:rPr>
          <w:rFonts w:asciiTheme="minorHAnsi" w:hAnsiTheme="minorHAnsi"/>
        </w:rPr>
        <w:t xml:space="preserve"> (pro přepočet mezi kubickými metry a energií</w:t>
      </w:r>
      <w:r w:rsidR="003817E2">
        <w:rPr>
          <w:rFonts w:asciiTheme="minorHAnsi" w:hAnsiTheme="minorHAnsi"/>
        </w:rPr>
        <w:t xml:space="preserve"> v kWh bude použita hodnota 10,624 (spalné teplo)</w:t>
      </w:r>
      <w:r w:rsidR="005F49F0">
        <w:rPr>
          <w:rFonts w:asciiTheme="minorHAnsi" w:hAnsiTheme="minorHAnsi"/>
        </w:rPr>
        <w:t>)</w:t>
      </w:r>
      <w:r>
        <w:rPr>
          <w:rFonts w:asciiTheme="minorHAnsi" w:hAnsiTheme="minorHAnsi"/>
        </w:rPr>
        <w:t>,</w:t>
      </w:r>
    </w:p>
    <w:p w:rsidR="00CD72B4" w:rsidRPr="0060046F" w:rsidRDefault="0060046F" w:rsidP="0060046F">
      <w:pPr>
        <w:pStyle w:val="Odstavecseseznamem"/>
        <w:spacing w:before="120" w:after="60"/>
        <w:ind w:left="1701" w:hanging="708"/>
        <w:jc w:val="both"/>
        <w:rPr>
          <w:rFonts w:asciiTheme="minorHAnsi" w:hAnsiTheme="minorHAnsi"/>
        </w:rPr>
      </w:pPr>
      <w:proofErr w:type="spellStart"/>
      <w:r w:rsidRPr="0060046F">
        <w:rPr>
          <w:rFonts w:asciiTheme="minorHAnsi" w:hAnsiTheme="minorHAnsi"/>
          <w:b/>
        </w:rPr>
        <w:t>Dmax</w:t>
      </w:r>
      <w:proofErr w:type="spellEnd"/>
      <w:r w:rsidRPr="0060046F">
        <w:rPr>
          <w:rFonts w:asciiTheme="minorHAnsi" w:hAnsiTheme="minorHAnsi"/>
        </w:rPr>
        <w:t xml:space="preserve"> </w:t>
      </w:r>
      <w:r>
        <w:rPr>
          <w:rFonts w:asciiTheme="minorHAnsi" w:hAnsiTheme="minorHAnsi"/>
        </w:rPr>
        <w:tab/>
      </w:r>
      <w:r w:rsidRPr="0060046F">
        <w:rPr>
          <w:rFonts w:asciiTheme="minorHAnsi" w:hAnsiTheme="minorHAnsi"/>
        </w:rPr>
        <w:t>reprezentuje d</w:t>
      </w:r>
      <w:r w:rsidR="00CD72B4" w:rsidRPr="0060046F">
        <w:rPr>
          <w:rFonts w:asciiTheme="minorHAnsi" w:hAnsiTheme="minorHAnsi"/>
        </w:rPr>
        <w:t xml:space="preserve">enní maximální těžební nebo </w:t>
      </w:r>
      <w:proofErr w:type="spellStart"/>
      <w:r w:rsidR="00CD72B4" w:rsidRPr="0060046F">
        <w:rPr>
          <w:rFonts w:asciiTheme="minorHAnsi" w:hAnsiTheme="minorHAnsi"/>
        </w:rPr>
        <w:t>vtláčecí</w:t>
      </w:r>
      <w:proofErr w:type="spellEnd"/>
      <w:r w:rsidR="00CD72B4" w:rsidRPr="0060046F">
        <w:rPr>
          <w:rFonts w:asciiTheme="minorHAnsi" w:hAnsiTheme="minorHAnsi"/>
        </w:rPr>
        <w:t xml:space="preserve"> výkon </w:t>
      </w:r>
      <w:r w:rsidRPr="0060046F">
        <w:rPr>
          <w:rFonts w:asciiTheme="minorHAnsi" w:hAnsiTheme="minorHAnsi"/>
        </w:rPr>
        <w:t>ukladatele</w:t>
      </w:r>
      <w:r>
        <w:rPr>
          <w:rFonts w:asciiTheme="minorHAnsi" w:hAnsiTheme="minorHAnsi"/>
        </w:rPr>
        <w:t xml:space="preserve"> </w:t>
      </w:r>
      <w:r w:rsidRPr="0060046F">
        <w:rPr>
          <w:rFonts w:asciiTheme="minorHAnsi" w:hAnsiTheme="minorHAnsi"/>
        </w:rPr>
        <w:t>(podle toho, která hodnota je vyšší)</w:t>
      </w:r>
      <w:r>
        <w:rPr>
          <w:rFonts w:asciiTheme="minorHAnsi" w:hAnsiTheme="minorHAnsi"/>
        </w:rPr>
        <w:t>,</w:t>
      </w:r>
      <w:r w:rsidRPr="0060046F">
        <w:rPr>
          <w:rFonts w:asciiTheme="minorHAnsi" w:hAnsiTheme="minorHAnsi"/>
        </w:rPr>
        <w:t xml:space="preserve"> </w:t>
      </w:r>
      <w:r w:rsidR="00CD72B4" w:rsidRPr="0060046F">
        <w:rPr>
          <w:rFonts w:asciiTheme="minorHAnsi" w:hAnsiTheme="minorHAnsi"/>
        </w:rPr>
        <w:t>uvedený v čl.</w:t>
      </w:r>
      <w:r w:rsidRPr="0060046F">
        <w:rPr>
          <w:rFonts w:asciiTheme="minorHAnsi" w:hAnsiTheme="minorHAnsi"/>
        </w:rPr>
        <w:t> </w:t>
      </w:r>
      <w:r w:rsidR="00CD72B4" w:rsidRPr="0060046F">
        <w:rPr>
          <w:rFonts w:asciiTheme="minorHAnsi" w:hAnsiTheme="minorHAnsi"/>
        </w:rPr>
        <w:t>III., odst. 1. této smlouvy</w:t>
      </w:r>
      <w:r>
        <w:rPr>
          <w:rFonts w:asciiTheme="minorHAnsi" w:hAnsiTheme="minorHAnsi"/>
        </w:rPr>
        <w:t>, určen</w:t>
      </w:r>
      <w:r w:rsidR="00CD72B4" w:rsidRPr="0060046F">
        <w:rPr>
          <w:rFonts w:asciiTheme="minorHAnsi" w:hAnsiTheme="minorHAnsi"/>
        </w:rPr>
        <w:t xml:space="preserve"> v</w:t>
      </w:r>
      <w:r>
        <w:rPr>
          <w:rFonts w:asciiTheme="minorHAnsi" w:hAnsiTheme="minorHAnsi"/>
        </w:rPr>
        <w:t> </w:t>
      </w:r>
      <w:proofErr w:type="spellStart"/>
      <w:r w:rsidR="00CE1AE3">
        <w:rPr>
          <w:rFonts w:asciiTheme="minorHAnsi" w:hAnsiTheme="minorHAnsi"/>
        </w:rPr>
        <w:t>M</w:t>
      </w:r>
      <w:r w:rsidR="00CE1AE3" w:rsidRPr="0060046F">
        <w:rPr>
          <w:rFonts w:asciiTheme="minorHAnsi" w:hAnsiTheme="minorHAnsi"/>
        </w:rPr>
        <w:t>Wh</w:t>
      </w:r>
      <w:proofErr w:type="spellEnd"/>
      <w:r w:rsidR="00CE1AE3">
        <w:rPr>
          <w:rFonts w:asciiTheme="minorHAnsi" w:hAnsiTheme="minorHAnsi"/>
        </w:rPr>
        <w:t xml:space="preserve"> </w:t>
      </w:r>
      <w:r>
        <w:rPr>
          <w:rFonts w:asciiTheme="minorHAnsi" w:hAnsiTheme="minorHAnsi"/>
        </w:rPr>
        <w:t>/ den</w:t>
      </w:r>
      <w:r w:rsidR="00CD72B4" w:rsidRPr="0060046F">
        <w:rPr>
          <w:rFonts w:asciiTheme="minorHAnsi" w:hAnsiTheme="minorHAnsi"/>
        </w:rPr>
        <w:t>.</w:t>
      </w:r>
    </w:p>
    <w:p w:rsidR="00001DA5" w:rsidRPr="0060046F" w:rsidRDefault="007A69AA" w:rsidP="007A69AA">
      <w:pPr>
        <w:pStyle w:val="Odstavecseseznamem"/>
        <w:numPr>
          <w:ilvl w:val="0"/>
          <w:numId w:val="20"/>
        </w:numPr>
        <w:tabs>
          <w:tab w:val="clear" w:pos="720"/>
        </w:tabs>
        <w:spacing w:before="120" w:after="60"/>
        <w:ind w:left="426" w:hanging="426"/>
        <w:jc w:val="both"/>
        <w:rPr>
          <w:rFonts w:asciiTheme="minorHAnsi" w:hAnsiTheme="minorHAnsi"/>
        </w:rPr>
      </w:pPr>
      <w:r>
        <w:rPr>
          <w:rFonts w:asciiTheme="minorHAnsi" w:hAnsiTheme="minorHAnsi"/>
        </w:rPr>
        <w:t>Celková roční cena za Službu</w:t>
      </w:r>
      <w:r w:rsidR="00412C24" w:rsidRPr="0060046F">
        <w:rPr>
          <w:rFonts w:asciiTheme="minorHAnsi" w:hAnsiTheme="minorHAnsi"/>
        </w:rPr>
        <w:t xml:space="preserve"> se určí jako </w:t>
      </w:r>
      <w:r w:rsidR="00B10B5D">
        <w:rPr>
          <w:rFonts w:asciiTheme="minorHAnsi" w:hAnsiTheme="minorHAnsi"/>
        </w:rPr>
        <w:t xml:space="preserve">součet </w:t>
      </w:r>
      <w:r w:rsidR="00412C24" w:rsidRPr="0060046F">
        <w:rPr>
          <w:rFonts w:asciiTheme="minorHAnsi" w:hAnsiTheme="minorHAnsi"/>
        </w:rPr>
        <w:t xml:space="preserve">roční </w:t>
      </w:r>
      <w:r w:rsidR="00B10B5D">
        <w:rPr>
          <w:rFonts w:asciiTheme="minorHAnsi" w:hAnsiTheme="minorHAnsi"/>
        </w:rPr>
        <w:t>ceny za uskladňování (</w:t>
      </w:r>
      <w:proofErr w:type="spellStart"/>
      <w:r w:rsidR="00B10B5D" w:rsidRPr="007A69AA">
        <w:rPr>
          <w:rFonts w:asciiTheme="minorHAnsi" w:hAnsiTheme="minorHAnsi"/>
          <w:i/>
        </w:rPr>
        <w:t>Ps</w:t>
      </w:r>
      <w:proofErr w:type="spellEnd"/>
      <w:r w:rsidR="00B10B5D">
        <w:rPr>
          <w:rFonts w:asciiTheme="minorHAnsi" w:hAnsiTheme="minorHAnsi"/>
        </w:rPr>
        <w:t>) a ročního poplatku za činnosti spojené s uskladňováním plynu (</w:t>
      </w:r>
      <w:proofErr w:type="spellStart"/>
      <w:r w:rsidR="00B10B5D" w:rsidRPr="007A69AA">
        <w:rPr>
          <w:rFonts w:asciiTheme="minorHAnsi" w:hAnsiTheme="minorHAnsi"/>
          <w:i/>
        </w:rPr>
        <w:t>Pc</w:t>
      </w:r>
      <w:proofErr w:type="spellEnd"/>
      <w:r w:rsidR="00B10B5D">
        <w:rPr>
          <w:rFonts w:asciiTheme="minorHAnsi" w:hAnsiTheme="minorHAnsi"/>
        </w:rPr>
        <w:t>)</w:t>
      </w:r>
      <w:r w:rsidR="00412C24" w:rsidRPr="0060046F">
        <w:rPr>
          <w:rFonts w:asciiTheme="minorHAnsi" w:hAnsiTheme="minorHAnsi"/>
        </w:rPr>
        <w:t xml:space="preserve">. </w:t>
      </w:r>
    </w:p>
    <w:p w:rsidR="0037140F" w:rsidRPr="0060046F" w:rsidRDefault="007A69AA" w:rsidP="007A69AA">
      <w:pPr>
        <w:pStyle w:val="Odstavecseseznamem"/>
        <w:numPr>
          <w:ilvl w:val="0"/>
          <w:numId w:val="20"/>
        </w:numPr>
        <w:tabs>
          <w:tab w:val="clear" w:pos="720"/>
        </w:tabs>
        <w:spacing w:before="120" w:after="0"/>
        <w:ind w:left="426" w:hanging="426"/>
        <w:contextualSpacing/>
        <w:jc w:val="both"/>
        <w:rPr>
          <w:rFonts w:asciiTheme="minorHAnsi" w:hAnsiTheme="minorHAnsi" w:cstheme="minorHAnsi"/>
        </w:rPr>
      </w:pPr>
      <w:r>
        <w:rPr>
          <w:rFonts w:asciiTheme="minorHAnsi" w:hAnsiTheme="minorHAnsi" w:cstheme="minorHAnsi"/>
        </w:rPr>
        <w:t xml:space="preserve">Celková roční cena za Službu </w:t>
      </w:r>
      <w:r w:rsidR="002369FD" w:rsidRPr="0060046F">
        <w:rPr>
          <w:rFonts w:asciiTheme="minorHAnsi" w:hAnsiTheme="minorHAnsi" w:cstheme="minorHAnsi"/>
        </w:rPr>
        <w:t>neobsahuj</w:t>
      </w:r>
      <w:r w:rsidR="00B10B5D">
        <w:rPr>
          <w:rFonts w:asciiTheme="minorHAnsi" w:hAnsiTheme="minorHAnsi" w:cstheme="minorHAnsi"/>
        </w:rPr>
        <w:t>e</w:t>
      </w:r>
      <w:r w:rsidR="002369FD" w:rsidRPr="0060046F">
        <w:rPr>
          <w:rFonts w:asciiTheme="minorHAnsi" w:hAnsiTheme="minorHAnsi" w:cstheme="minorHAnsi"/>
        </w:rPr>
        <w:t xml:space="preserve"> žádné daně a ty budou připočteny ve výši a způsobem uvedeným obecně závaznými právními předpisy.</w:t>
      </w:r>
    </w:p>
    <w:p w:rsidR="006E5F0B" w:rsidRPr="0060046F" w:rsidRDefault="006E5F0B" w:rsidP="007A69AA">
      <w:pPr>
        <w:pStyle w:val="Odstavecseseznamem"/>
        <w:numPr>
          <w:ilvl w:val="0"/>
          <w:numId w:val="20"/>
        </w:numPr>
        <w:spacing w:before="120" w:after="60"/>
        <w:ind w:left="426" w:hanging="426"/>
        <w:jc w:val="both"/>
        <w:rPr>
          <w:rFonts w:asciiTheme="minorHAnsi" w:hAnsiTheme="minorHAnsi"/>
        </w:rPr>
      </w:pPr>
      <w:r w:rsidRPr="0060046F">
        <w:rPr>
          <w:rFonts w:asciiTheme="minorHAnsi" w:hAnsiTheme="minorHAnsi"/>
        </w:rPr>
        <w:t xml:space="preserve">Celková měsíční cena za </w:t>
      </w:r>
      <w:r w:rsidR="007A69AA">
        <w:rPr>
          <w:rFonts w:asciiTheme="minorHAnsi" w:hAnsiTheme="minorHAnsi"/>
        </w:rPr>
        <w:t xml:space="preserve">Službu </w:t>
      </w:r>
      <w:r w:rsidR="00AB56CF" w:rsidRPr="0060046F">
        <w:rPr>
          <w:rFonts w:asciiTheme="minorHAnsi" w:hAnsiTheme="minorHAnsi"/>
        </w:rPr>
        <w:t xml:space="preserve">je </w:t>
      </w:r>
      <w:r w:rsidRPr="0060046F">
        <w:rPr>
          <w:rFonts w:asciiTheme="minorHAnsi" w:hAnsiTheme="minorHAnsi"/>
        </w:rPr>
        <w:t xml:space="preserve">vyjádřená v Kč/měsíc a vypočte se jako 1/12 celkové roční ceny </w:t>
      </w:r>
      <w:r w:rsidR="007A69AA">
        <w:rPr>
          <w:rFonts w:asciiTheme="minorHAnsi" w:hAnsiTheme="minorHAnsi"/>
        </w:rPr>
        <w:t>za Službu</w:t>
      </w:r>
      <w:r w:rsidRPr="0060046F">
        <w:rPr>
          <w:rFonts w:asciiTheme="minorHAnsi" w:hAnsiTheme="minorHAnsi"/>
        </w:rPr>
        <w:t>.</w:t>
      </w:r>
    </w:p>
    <w:p w:rsidR="006E5F0B" w:rsidRPr="0060046F" w:rsidRDefault="006E5F0B" w:rsidP="007A69AA">
      <w:pPr>
        <w:pStyle w:val="Odstavecseseznamem"/>
        <w:numPr>
          <w:ilvl w:val="0"/>
          <w:numId w:val="20"/>
        </w:numPr>
        <w:spacing w:before="120" w:after="60"/>
        <w:ind w:left="426" w:hanging="426"/>
        <w:jc w:val="both"/>
        <w:rPr>
          <w:rFonts w:asciiTheme="minorHAnsi" w:hAnsiTheme="minorHAnsi"/>
        </w:rPr>
      </w:pPr>
      <w:r w:rsidRPr="0060046F">
        <w:rPr>
          <w:rFonts w:asciiTheme="minorHAnsi" w:hAnsiTheme="minorHAnsi"/>
        </w:rPr>
        <w:t>Pokud není uvedeno jinak, pak veškeré ceny a cenová ustanovení, která jsou spojena se slovem měsíc, jsou uvažována na období plynárenského měsíce, a která jsou spojena se slovem rok, jsou uvažovány na období skladovacího roku.</w:t>
      </w:r>
    </w:p>
    <w:p w:rsidR="00D932A0" w:rsidRPr="0060046F" w:rsidRDefault="00D932A0" w:rsidP="0060046F">
      <w:pPr>
        <w:spacing w:before="240" w:line="276" w:lineRule="auto"/>
        <w:jc w:val="center"/>
        <w:rPr>
          <w:rFonts w:asciiTheme="minorHAnsi" w:hAnsiTheme="minorHAnsi"/>
          <w:b/>
          <w:sz w:val="22"/>
          <w:szCs w:val="22"/>
        </w:rPr>
      </w:pPr>
      <w:r w:rsidRPr="0060046F">
        <w:rPr>
          <w:rFonts w:asciiTheme="minorHAnsi" w:hAnsiTheme="minorHAnsi"/>
          <w:b/>
          <w:sz w:val="22"/>
          <w:szCs w:val="22"/>
        </w:rPr>
        <w:t>V. Platební podmínky</w:t>
      </w:r>
    </w:p>
    <w:p w:rsidR="00001DA5" w:rsidRPr="00671877" w:rsidRDefault="00D932A0" w:rsidP="007A69AA">
      <w:pPr>
        <w:widowControl/>
        <w:numPr>
          <w:ilvl w:val="0"/>
          <w:numId w:val="11"/>
        </w:numPr>
        <w:tabs>
          <w:tab w:val="clear" w:pos="720"/>
        </w:tabs>
        <w:overflowPunct/>
        <w:autoSpaceDE/>
        <w:autoSpaceDN/>
        <w:adjustRightInd/>
        <w:spacing w:before="120" w:after="60" w:line="276" w:lineRule="auto"/>
        <w:ind w:left="425" w:hanging="425"/>
        <w:textAlignment w:val="auto"/>
        <w:rPr>
          <w:rFonts w:asciiTheme="minorHAnsi" w:hAnsiTheme="minorHAnsi"/>
          <w:sz w:val="22"/>
          <w:szCs w:val="22"/>
        </w:rPr>
      </w:pPr>
      <w:r w:rsidRPr="00671877">
        <w:rPr>
          <w:rFonts w:asciiTheme="minorHAnsi" w:hAnsiTheme="minorHAnsi"/>
          <w:sz w:val="22"/>
          <w:szCs w:val="22"/>
        </w:rPr>
        <w:t>Ukladat</w:t>
      </w:r>
      <w:r w:rsidR="00E670F0" w:rsidRPr="00671877">
        <w:rPr>
          <w:rFonts w:asciiTheme="minorHAnsi" w:hAnsiTheme="minorHAnsi"/>
          <w:sz w:val="22"/>
          <w:szCs w:val="22"/>
        </w:rPr>
        <w:t xml:space="preserve">el je povinen za </w:t>
      </w:r>
      <w:r w:rsidR="007A69AA" w:rsidRPr="00671877">
        <w:rPr>
          <w:rFonts w:asciiTheme="minorHAnsi" w:hAnsiTheme="minorHAnsi"/>
          <w:sz w:val="22"/>
          <w:szCs w:val="22"/>
        </w:rPr>
        <w:t>S</w:t>
      </w:r>
      <w:r w:rsidR="00E670F0" w:rsidRPr="00671877">
        <w:rPr>
          <w:rFonts w:asciiTheme="minorHAnsi" w:hAnsiTheme="minorHAnsi"/>
          <w:sz w:val="22"/>
          <w:szCs w:val="22"/>
        </w:rPr>
        <w:t xml:space="preserve">lužbu </w:t>
      </w:r>
      <w:r w:rsidRPr="00671877">
        <w:rPr>
          <w:rFonts w:asciiTheme="minorHAnsi" w:hAnsiTheme="minorHAnsi"/>
          <w:sz w:val="22"/>
          <w:szCs w:val="22"/>
        </w:rPr>
        <w:t xml:space="preserve">platit měsíčně </w:t>
      </w:r>
      <w:r w:rsidR="0086185B" w:rsidRPr="00671877">
        <w:rPr>
          <w:rFonts w:asciiTheme="minorHAnsi" w:hAnsiTheme="minorHAnsi"/>
          <w:sz w:val="22"/>
          <w:szCs w:val="22"/>
        </w:rPr>
        <w:t xml:space="preserve">zpětně </w:t>
      </w:r>
      <w:r w:rsidRPr="00671877">
        <w:rPr>
          <w:rFonts w:asciiTheme="minorHAnsi" w:hAnsiTheme="minorHAnsi"/>
          <w:sz w:val="22"/>
          <w:szCs w:val="22"/>
        </w:rPr>
        <w:t>celkovou</w:t>
      </w:r>
      <w:r w:rsidR="00E670F0" w:rsidRPr="00671877">
        <w:rPr>
          <w:rFonts w:asciiTheme="minorHAnsi" w:hAnsiTheme="minorHAnsi"/>
          <w:sz w:val="22"/>
          <w:szCs w:val="22"/>
        </w:rPr>
        <w:t xml:space="preserve"> měsíční cenu za </w:t>
      </w:r>
      <w:r w:rsidR="007A69AA" w:rsidRPr="00671877">
        <w:rPr>
          <w:rFonts w:asciiTheme="minorHAnsi" w:hAnsiTheme="minorHAnsi"/>
          <w:sz w:val="22"/>
          <w:szCs w:val="22"/>
        </w:rPr>
        <w:t>S</w:t>
      </w:r>
      <w:r w:rsidR="00E670F0" w:rsidRPr="00671877">
        <w:rPr>
          <w:rFonts w:asciiTheme="minorHAnsi" w:hAnsiTheme="minorHAnsi"/>
          <w:sz w:val="22"/>
          <w:szCs w:val="22"/>
        </w:rPr>
        <w:t>lužbu</w:t>
      </w:r>
      <w:r w:rsidRPr="00671877">
        <w:rPr>
          <w:rFonts w:asciiTheme="minorHAnsi" w:hAnsiTheme="minorHAnsi"/>
          <w:sz w:val="22"/>
          <w:szCs w:val="22"/>
        </w:rPr>
        <w:t>, včetně všech daní a poplatků stanovených v souladu s obecně závaznými právními předpisy, vypočtenou za příslušný plynárenský měsíc v souladu s předchozím článkem, na základě daňového dokladu vystaveného skladovatelem.</w:t>
      </w:r>
      <w:r w:rsidR="00671877" w:rsidRPr="00671877">
        <w:rPr>
          <w:rFonts w:asciiTheme="minorHAnsi" w:hAnsiTheme="minorHAnsi"/>
          <w:sz w:val="22"/>
          <w:szCs w:val="22"/>
        </w:rPr>
        <w:t xml:space="preserve"> Skladovatel vystaví daňový doklad nejpozději do 5. pr</w:t>
      </w:r>
      <w:r w:rsidR="00671877">
        <w:rPr>
          <w:rFonts w:asciiTheme="minorHAnsi" w:hAnsiTheme="minorHAnsi"/>
          <w:sz w:val="22"/>
          <w:szCs w:val="22"/>
        </w:rPr>
        <w:t>acovního dne měsíce následujícího</w:t>
      </w:r>
      <w:r w:rsidR="00671877" w:rsidRPr="00671877">
        <w:rPr>
          <w:rFonts w:asciiTheme="minorHAnsi" w:hAnsiTheme="minorHAnsi"/>
          <w:sz w:val="22"/>
          <w:szCs w:val="22"/>
        </w:rPr>
        <w:t xml:space="preserve"> po měsíci, za který je daňový doklad vystavován.</w:t>
      </w:r>
      <w:r w:rsidRPr="00671877">
        <w:rPr>
          <w:rFonts w:asciiTheme="minorHAnsi" w:hAnsiTheme="minorHAnsi"/>
          <w:sz w:val="22"/>
          <w:szCs w:val="22"/>
        </w:rPr>
        <w:t xml:space="preserve"> </w:t>
      </w:r>
    </w:p>
    <w:p w:rsidR="00D932A0" w:rsidRPr="0060046F" w:rsidRDefault="00D932A0" w:rsidP="007A69AA">
      <w:pPr>
        <w:widowControl/>
        <w:numPr>
          <w:ilvl w:val="0"/>
          <w:numId w:val="11"/>
        </w:numPr>
        <w:tabs>
          <w:tab w:val="clear" w:pos="720"/>
        </w:tabs>
        <w:overflowPunct/>
        <w:autoSpaceDE/>
        <w:autoSpaceDN/>
        <w:adjustRightInd/>
        <w:spacing w:before="120" w:after="60" w:line="276" w:lineRule="auto"/>
        <w:ind w:left="425" w:hanging="425"/>
        <w:textAlignment w:val="auto"/>
        <w:rPr>
          <w:rFonts w:asciiTheme="minorHAnsi" w:hAnsiTheme="minorHAnsi"/>
          <w:sz w:val="22"/>
          <w:szCs w:val="22"/>
        </w:rPr>
      </w:pPr>
      <w:r w:rsidRPr="0060046F">
        <w:rPr>
          <w:rFonts w:asciiTheme="minorHAnsi" w:hAnsiTheme="minorHAnsi"/>
          <w:sz w:val="22"/>
          <w:szCs w:val="22"/>
        </w:rPr>
        <w:t>Celkovou měsíční cenu z</w:t>
      </w:r>
      <w:r w:rsidR="007A69AA">
        <w:rPr>
          <w:rFonts w:asciiTheme="minorHAnsi" w:hAnsiTheme="minorHAnsi"/>
          <w:sz w:val="22"/>
          <w:szCs w:val="22"/>
        </w:rPr>
        <w:t>a S</w:t>
      </w:r>
      <w:r w:rsidR="00E670F0" w:rsidRPr="0060046F">
        <w:rPr>
          <w:rFonts w:asciiTheme="minorHAnsi" w:hAnsiTheme="minorHAnsi"/>
          <w:sz w:val="22"/>
          <w:szCs w:val="22"/>
        </w:rPr>
        <w:t>lužbu</w:t>
      </w:r>
      <w:r w:rsidRPr="0060046F">
        <w:rPr>
          <w:rFonts w:asciiTheme="minorHAnsi" w:hAnsiTheme="minorHAnsi"/>
          <w:sz w:val="22"/>
          <w:szCs w:val="22"/>
        </w:rPr>
        <w:t xml:space="preserve"> je ukladatel povinen</w:t>
      </w:r>
      <w:r w:rsidR="007A69AA">
        <w:rPr>
          <w:rFonts w:asciiTheme="minorHAnsi" w:hAnsiTheme="minorHAnsi"/>
          <w:sz w:val="22"/>
          <w:szCs w:val="22"/>
        </w:rPr>
        <w:t xml:space="preserve"> </w:t>
      </w:r>
      <w:r w:rsidR="007A69AA" w:rsidRPr="0060046F">
        <w:rPr>
          <w:rFonts w:asciiTheme="minorHAnsi" w:hAnsiTheme="minorHAnsi"/>
          <w:sz w:val="22"/>
          <w:szCs w:val="22"/>
        </w:rPr>
        <w:t>za příslušný plynárenský měsíc</w:t>
      </w:r>
      <w:r w:rsidRPr="0060046F">
        <w:rPr>
          <w:rFonts w:asciiTheme="minorHAnsi" w:hAnsiTheme="minorHAnsi"/>
          <w:sz w:val="22"/>
          <w:szCs w:val="22"/>
        </w:rPr>
        <w:t xml:space="preserve"> zaplatit nejpozději do 15 kalendářních dnů od</w:t>
      </w:r>
      <w:r w:rsidR="007A69AA">
        <w:rPr>
          <w:rFonts w:asciiTheme="minorHAnsi" w:hAnsiTheme="minorHAnsi"/>
          <w:sz w:val="22"/>
          <w:szCs w:val="22"/>
        </w:rPr>
        <w:t>e dne</w:t>
      </w:r>
      <w:r w:rsidRPr="0060046F">
        <w:rPr>
          <w:rFonts w:asciiTheme="minorHAnsi" w:hAnsiTheme="minorHAnsi"/>
          <w:sz w:val="22"/>
          <w:szCs w:val="22"/>
        </w:rPr>
        <w:t xml:space="preserve"> doručení příslušného daňového dokladu a to bezhotovostním převodem na účet skladovatele uvedený na daňovém dokladu.</w:t>
      </w:r>
    </w:p>
    <w:p w:rsidR="00D932A0" w:rsidRPr="0060046F" w:rsidRDefault="00D932A0" w:rsidP="007A69AA">
      <w:pPr>
        <w:widowControl/>
        <w:numPr>
          <w:ilvl w:val="0"/>
          <w:numId w:val="11"/>
        </w:numPr>
        <w:tabs>
          <w:tab w:val="clear" w:pos="720"/>
        </w:tabs>
        <w:overflowPunct/>
        <w:autoSpaceDE/>
        <w:autoSpaceDN/>
        <w:adjustRightInd/>
        <w:spacing w:before="120" w:after="60" w:line="276" w:lineRule="auto"/>
        <w:ind w:left="425" w:hanging="425"/>
        <w:textAlignment w:val="auto"/>
        <w:rPr>
          <w:rFonts w:asciiTheme="minorHAnsi" w:hAnsiTheme="minorHAnsi"/>
          <w:sz w:val="22"/>
          <w:szCs w:val="22"/>
        </w:rPr>
      </w:pPr>
      <w:r w:rsidRPr="0060046F">
        <w:rPr>
          <w:rFonts w:asciiTheme="minorHAnsi" w:hAnsiTheme="minorHAnsi"/>
          <w:sz w:val="22"/>
          <w:szCs w:val="22"/>
        </w:rPr>
        <w:lastRenderedPageBreak/>
        <w:t>Daňový doklad musí obsahovat náležitosti stanovené obecně závaznými předpisy</w:t>
      </w:r>
      <w:r w:rsidR="007A69AA">
        <w:rPr>
          <w:rFonts w:asciiTheme="minorHAnsi" w:hAnsiTheme="minorHAnsi"/>
          <w:sz w:val="22"/>
          <w:szCs w:val="22"/>
        </w:rPr>
        <w:t>,</w:t>
      </w:r>
      <w:r w:rsidRPr="0060046F">
        <w:rPr>
          <w:rFonts w:asciiTheme="minorHAnsi" w:hAnsiTheme="minorHAnsi"/>
          <w:sz w:val="22"/>
          <w:szCs w:val="22"/>
        </w:rPr>
        <w:t xml:space="preserve"> včetně označení peněžního ústavu a čísla účtu, na který má být placeno.</w:t>
      </w:r>
    </w:p>
    <w:p w:rsidR="00D932A0" w:rsidRPr="0060046F" w:rsidRDefault="00D932A0" w:rsidP="007A69AA">
      <w:pPr>
        <w:widowControl/>
        <w:numPr>
          <w:ilvl w:val="0"/>
          <w:numId w:val="11"/>
        </w:numPr>
        <w:tabs>
          <w:tab w:val="clear" w:pos="720"/>
        </w:tabs>
        <w:overflowPunct/>
        <w:autoSpaceDE/>
        <w:autoSpaceDN/>
        <w:adjustRightInd/>
        <w:spacing w:before="120" w:after="60" w:line="276" w:lineRule="auto"/>
        <w:ind w:left="425" w:hanging="425"/>
        <w:textAlignment w:val="auto"/>
        <w:rPr>
          <w:rFonts w:asciiTheme="minorHAnsi" w:hAnsiTheme="minorHAnsi"/>
          <w:sz w:val="22"/>
          <w:szCs w:val="22"/>
        </w:rPr>
      </w:pPr>
      <w:r w:rsidRPr="0060046F">
        <w:rPr>
          <w:rFonts w:asciiTheme="minorHAnsi" w:hAnsiTheme="minorHAnsi"/>
          <w:sz w:val="22"/>
          <w:szCs w:val="22"/>
        </w:rPr>
        <w:t>V případě prodlení s placením peněžitých závazků vyplývajících ze Smlouvy je příslušná smluvní strana povinna uhradit druhé smluvní straně úrok z prodlení ve výši dle platných obecně závazných právních předpisů, a pokud výši tohoto úroku z prodlení tyto předpisy neuvádějí nebo přestaly uvádět nebo jej nelze určit, pak ve výši 0,05 % z nesplacené částky za každý i započatý den prodlení.</w:t>
      </w:r>
    </w:p>
    <w:p w:rsidR="003A32C2" w:rsidRPr="0060046F" w:rsidRDefault="00E670F0" w:rsidP="007A69AA">
      <w:pPr>
        <w:widowControl/>
        <w:numPr>
          <w:ilvl w:val="0"/>
          <w:numId w:val="11"/>
        </w:numPr>
        <w:tabs>
          <w:tab w:val="clear" w:pos="720"/>
        </w:tabs>
        <w:overflowPunct/>
        <w:autoSpaceDE/>
        <w:autoSpaceDN/>
        <w:adjustRightInd/>
        <w:spacing w:before="120" w:after="60" w:line="276" w:lineRule="auto"/>
        <w:ind w:left="425" w:hanging="425"/>
        <w:textAlignment w:val="auto"/>
        <w:rPr>
          <w:rFonts w:asciiTheme="minorHAnsi" w:hAnsiTheme="minorHAnsi"/>
          <w:sz w:val="22"/>
          <w:szCs w:val="22"/>
        </w:rPr>
      </w:pPr>
      <w:r w:rsidRPr="0060046F">
        <w:rPr>
          <w:rFonts w:asciiTheme="minorHAnsi" w:hAnsiTheme="minorHAnsi"/>
          <w:sz w:val="22"/>
          <w:szCs w:val="22"/>
        </w:rPr>
        <w:t>Ú</w:t>
      </w:r>
      <w:r w:rsidR="00D932A0" w:rsidRPr="0060046F">
        <w:rPr>
          <w:rFonts w:asciiTheme="minorHAnsi" w:hAnsiTheme="minorHAnsi"/>
          <w:sz w:val="22"/>
          <w:szCs w:val="22"/>
        </w:rPr>
        <w:t xml:space="preserve">roky z prodlení jsou splatné do 10 kalendářních dnů od data jejich </w:t>
      </w:r>
      <w:r w:rsidRPr="0060046F">
        <w:rPr>
          <w:rFonts w:asciiTheme="minorHAnsi" w:hAnsiTheme="minorHAnsi"/>
          <w:sz w:val="22"/>
          <w:szCs w:val="22"/>
        </w:rPr>
        <w:t>vyúčtování.</w:t>
      </w:r>
    </w:p>
    <w:p w:rsidR="00D932A0" w:rsidRPr="0060046F" w:rsidRDefault="00D932A0" w:rsidP="0060046F">
      <w:pPr>
        <w:widowControl/>
        <w:overflowPunct/>
        <w:autoSpaceDE/>
        <w:autoSpaceDN/>
        <w:adjustRightInd/>
        <w:spacing w:before="240" w:after="60" w:line="276" w:lineRule="auto"/>
        <w:jc w:val="center"/>
        <w:textAlignment w:val="auto"/>
        <w:rPr>
          <w:rFonts w:asciiTheme="minorHAnsi" w:hAnsiTheme="minorHAnsi"/>
          <w:b/>
          <w:sz w:val="22"/>
          <w:szCs w:val="22"/>
        </w:rPr>
      </w:pPr>
      <w:r w:rsidRPr="0060046F">
        <w:rPr>
          <w:rFonts w:asciiTheme="minorHAnsi" w:hAnsiTheme="minorHAnsi"/>
          <w:b/>
          <w:sz w:val="22"/>
          <w:szCs w:val="22"/>
        </w:rPr>
        <w:t>V</w:t>
      </w:r>
      <w:r w:rsidR="005C2A42" w:rsidRPr="0060046F">
        <w:rPr>
          <w:rFonts w:asciiTheme="minorHAnsi" w:hAnsiTheme="minorHAnsi"/>
          <w:b/>
          <w:sz w:val="22"/>
          <w:szCs w:val="22"/>
        </w:rPr>
        <w:t>I</w:t>
      </w:r>
      <w:r w:rsidRPr="0060046F">
        <w:rPr>
          <w:rFonts w:asciiTheme="minorHAnsi" w:hAnsiTheme="minorHAnsi"/>
          <w:b/>
          <w:sz w:val="22"/>
          <w:szCs w:val="22"/>
        </w:rPr>
        <w:t>. Doba trvání smlouvy</w:t>
      </w:r>
    </w:p>
    <w:p w:rsidR="00D932A0" w:rsidRPr="0060046F" w:rsidRDefault="00D932A0" w:rsidP="007A69AA">
      <w:pPr>
        <w:widowControl/>
        <w:numPr>
          <w:ilvl w:val="0"/>
          <w:numId w:val="9"/>
        </w:numPr>
        <w:tabs>
          <w:tab w:val="clear" w:pos="720"/>
        </w:tabs>
        <w:overflowPunct/>
        <w:autoSpaceDE/>
        <w:autoSpaceDN/>
        <w:adjustRightInd/>
        <w:spacing w:before="120" w:after="60" w:line="276" w:lineRule="auto"/>
        <w:ind w:left="425" w:hanging="425"/>
        <w:textAlignment w:val="auto"/>
        <w:rPr>
          <w:rFonts w:asciiTheme="minorHAnsi" w:hAnsiTheme="minorHAnsi"/>
          <w:sz w:val="22"/>
          <w:szCs w:val="22"/>
        </w:rPr>
      </w:pPr>
      <w:r w:rsidRPr="0060046F">
        <w:rPr>
          <w:rFonts w:asciiTheme="minorHAnsi" w:hAnsiTheme="minorHAnsi"/>
          <w:sz w:val="22"/>
          <w:szCs w:val="22"/>
        </w:rPr>
        <w:t>Smlouva je u</w:t>
      </w:r>
      <w:r w:rsidR="00E670F0" w:rsidRPr="0060046F">
        <w:rPr>
          <w:rFonts w:asciiTheme="minorHAnsi" w:hAnsiTheme="minorHAnsi"/>
          <w:sz w:val="22"/>
          <w:szCs w:val="22"/>
        </w:rPr>
        <w:t>zavírána s účinností od 1.</w:t>
      </w:r>
      <w:r w:rsidR="005F1A2E" w:rsidRPr="0060046F">
        <w:rPr>
          <w:rFonts w:asciiTheme="minorHAnsi" w:hAnsiTheme="minorHAnsi"/>
          <w:sz w:val="22"/>
          <w:szCs w:val="22"/>
        </w:rPr>
        <w:t xml:space="preserve"> </w:t>
      </w:r>
      <w:r w:rsidR="00E670F0" w:rsidRPr="0060046F">
        <w:rPr>
          <w:rFonts w:asciiTheme="minorHAnsi" w:hAnsiTheme="minorHAnsi"/>
          <w:sz w:val="22"/>
          <w:szCs w:val="22"/>
        </w:rPr>
        <w:t>4.</w:t>
      </w:r>
      <w:r w:rsidR="005F1A2E" w:rsidRPr="0060046F">
        <w:rPr>
          <w:rFonts w:asciiTheme="minorHAnsi" w:hAnsiTheme="minorHAnsi"/>
          <w:sz w:val="22"/>
          <w:szCs w:val="22"/>
        </w:rPr>
        <w:t xml:space="preserve"> </w:t>
      </w:r>
      <w:r w:rsidR="00E670F0" w:rsidRPr="0060046F">
        <w:rPr>
          <w:rFonts w:asciiTheme="minorHAnsi" w:hAnsiTheme="minorHAnsi"/>
          <w:sz w:val="22"/>
          <w:szCs w:val="22"/>
        </w:rPr>
        <w:t>20</w:t>
      </w:r>
      <w:r w:rsidR="002839B9" w:rsidRPr="0060046F">
        <w:rPr>
          <w:rFonts w:asciiTheme="minorHAnsi" w:hAnsiTheme="minorHAnsi"/>
          <w:sz w:val="22"/>
          <w:szCs w:val="22"/>
        </w:rPr>
        <w:t>1</w:t>
      </w:r>
      <w:r w:rsidR="007A69AA">
        <w:rPr>
          <w:rFonts w:asciiTheme="minorHAnsi" w:hAnsiTheme="minorHAnsi"/>
          <w:sz w:val="22"/>
          <w:szCs w:val="22"/>
        </w:rPr>
        <w:t>7</w:t>
      </w:r>
      <w:r w:rsidR="00E670F0" w:rsidRPr="0060046F">
        <w:rPr>
          <w:rFonts w:asciiTheme="minorHAnsi" w:hAnsiTheme="minorHAnsi"/>
          <w:sz w:val="22"/>
          <w:szCs w:val="22"/>
        </w:rPr>
        <w:t xml:space="preserve"> </w:t>
      </w:r>
      <w:r w:rsidRPr="0060046F">
        <w:rPr>
          <w:rFonts w:asciiTheme="minorHAnsi" w:hAnsiTheme="minorHAnsi"/>
          <w:sz w:val="22"/>
          <w:szCs w:val="22"/>
        </w:rPr>
        <w:t>v</w:t>
      </w:r>
      <w:r w:rsidR="00E670F0" w:rsidRPr="0060046F">
        <w:rPr>
          <w:rFonts w:asciiTheme="minorHAnsi" w:hAnsiTheme="minorHAnsi"/>
          <w:sz w:val="22"/>
          <w:szCs w:val="22"/>
        </w:rPr>
        <w:t> 06:00:00 hodin a končí 1.</w:t>
      </w:r>
      <w:r w:rsidR="005F1A2E" w:rsidRPr="0060046F">
        <w:rPr>
          <w:rFonts w:asciiTheme="minorHAnsi" w:hAnsiTheme="minorHAnsi"/>
          <w:sz w:val="22"/>
          <w:szCs w:val="22"/>
        </w:rPr>
        <w:t xml:space="preserve"> </w:t>
      </w:r>
      <w:r w:rsidR="00E670F0" w:rsidRPr="0060046F">
        <w:rPr>
          <w:rFonts w:asciiTheme="minorHAnsi" w:hAnsiTheme="minorHAnsi"/>
          <w:sz w:val="22"/>
          <w:szCs w:val="22"/>
        </w:rPr>
        <w:t>4.</w:t>
      </w:r>
      <w:r w:rsidR="005F1A2E" w:rsidRPr="0060046F">
        <w:rPr>
          <w:rFonts w:asciiTheme="minorHAnsi" w:hAnsiTheme="minorHAnsi"/>
          <w:sz w:val="22"/>
          <w:szCs w:val="22"/>
        </w:rPr>
        <w:t xml:space="preserve"> </w:t>
      </w:r>
      <w:r w:rsidR="00E670F0" w:rsidRPr="0060046F">
        <w:rPr>
          <w:rFonts w:asciiTheme="minorHAnsi" w:hAnsiTheme="minorHAnsi"/>
          <w:sz w:val="22"/>
          <w:szCs w:val="22"/>
        </w:rPr>
        <w:t>20</w:t>
      </w:r>
      <w:r w:rsidR="007A69AA">
        <w:rPr>
          <w:rFonts w:asciiTheme="minorHAnsi" w:hAnsiTheme="minorHAnsi"/>
          <w:sz w:val="22"/>
          <w:szCs w:val="22"/>
        </w:rPr>
        <w:t>18</w:t>
      </w:r>
      <w:r w:rsidR="00E670F0" w:rsidRPr="0060046F">
        <w:rPr>
          <w:rFonts w:asciiTheme="minorHAnsi" w:hAnsiTheme="minorHAnsi"/>
          <w:sz w:val="22"/>
          <w:szCs w:val="22"/>
        </w:rPr>
        <w:t xml:space="preserve"> </w:t>
      </w:r>
      <w:r w:rsidRPr="0060046F">
        <w:rPr>
          <w:rFonts w:asciiTheme="minorHAnsi" w:hAnsiTheme="minorHAnsi"/>
          <w:sz w:val="22"/>
          <w:szCs w:val="22"/>
        </w:rPr>
        <w:t xml:space="preserve">v 06:00:00 hodin a je platná v den jejího podpisu oběma smluvními stranami. </w:t>
      </w:r>
    </w:p>
    <w:p w:rsidR="00D932A0" w:rsidRPr="0060046F" w:rsidRDefault="00D932A0" w:rsidP="007A69AA">
      <w:pPr>
        <w:widowControl/>
        <w:numPr>
          <w:ilvl w:val="0"/>
          <w:numId w:val="9"/>
        </w:numPr>
        <w:tabs>
          <w:tab w:val="clear" w:pos="720"/>
        </w:tabs>
        <w:overflowPunct/>
        <w:autoSpaceDE/>
        <w:autoSpaceDN/>
        <w:adjustRightInd/>
        <w:spacing w:before="120" w:after="60" w:line="276" w:lineRule="auto"/>
        <w:ind w:left="425" w:hanging="425"/>
        <w:textAlignment w:val="auto"/>
        <w:rPr>
          <w:rFonts w:asciiTheme="minorHAnsi" w:hAnsiTheme="minorHAnsi"/>
          <w:sz w:val="22"/>
          <w:szCs w:val="22"/>
        </w:rPr>
      </w:pPr>
      <w:r w:rsidRPr="0060046F">
        <w:rPr>
          <w:rFonts w:asciiTheme="minorHAnsi" w:hAnsiTheme="minorHAnsi"/>
          <w:sz w:val="22"/>
          <w:szCs w:val="22"/>
        </w:rPr>
        <w:t xml:space="preserve">Ukladatel se zavazuje využívat skladovacích služeb </w:t>
      </w:r>
      <w:r w:rsidR="007A69AA">
        <w:rPr>
          <w:rFonts w:asciiTheme="minorHAnsi" w:hAnsiTheme="minorHAnsi"/>
          <w:sz w:val="22"/>
          <w:szCs w:val="22"/>
        </w:rPr>
        <w:t xml:space="preserve">skladovatele </w:t>
      </w:r>
      <w:r w:rsidRPr="0060046F">
        <w:rPr>
          <w:rFonts w:asciiTheme="minorHAnsi" w:hAnsiTheme="minorHAnsi"/>
          <w:sz w:val="22"/>
          <w:szCs w:val="22"/>
        </w:rPr>
        <w:t>tak, aby k poslednímu dni účinnosti Smlouvy neměl u skladovatele na základě této Smlouvy uložen (vyznačen na účtu ukladatele</w:t>
      </w:r>
      <w:r w:rsidR="0037140F" w:rsidRPr="0060046F">
        <w:rPr>
          <w:rFonts w:asciiTheme="minorHAnsi" w:hAnsiTheme="minorHAnsi"/>
          <w:sz w:val="22"/>
          <w:szCs w:val="22"/>
        </w:rPr>
        <w:t xml:space="preserve"> v kWh</w:t>
      </w:r>
      <w:r w:rsidRPr="0060046F">
        <w:rPr>
          <w:rFonts w:asciiTheme="minorHAnsi" w:hAnsiTheme="minorHAnsi"/>
          <w:sz w:val="22"/>
          <w:szCs w:val="22"/>
        </w:rPr>
        <w:t>) žádný plyn.</w:t>
      </w:r>
    </w:p>
    <w:p w:rsidR="00D932A0" w:rsidRPr="0060046F" w:rsidRDefault="00D932A0" w:rsidP="0060046F">
      <w:pPr>
        <w:spacing w:before="240" w:line="276" w:lineRule="auto"/>
        <w:jc w:val="center"/>
        <w:rPr>
          <w:rFonts w:asciiTheme="minorHAnsi" w:hAnsiTheme="minorHAnsi"/>
          <w:b/>
          <w:sz w:val="22"/>
          <w:szCs w:val="22"/>
        </w:rPr>
      </w:pPr>
      <w:r w:rsidRPr="0060046F">
        <w:rPr>
          <w:rFonts w:asciiTheme="minorHAnsi" w:hAnsiTheme="minorHAnsi"/>
          <w:b/>
          <w:sz w:val="22"/>
          <w:szCs w:val="22"/>
        </w:rPr>
        <w:t>V</w:t>
      </w:r>
      <w:r w:rsidR="005C2A42" w:rsidRPr="0060046F">
        <w:rPr>
          <w:rFonts w:asciiTheme="minorHAnsi" w:hAnsiTheme="minorHAnsi"/>
          <w:b/>
          <w:sz w:val="22"/>
          <w:szCs w:val="22"/>
        </w:rPr>
        <w:t>II</w:t>
      </w:r>
      <w:r w:rsidRPr="0060046F">
        <w:rPr>
          <w:rFonts w:asciiTheme="minorHAnsi" w:hAnsiTheme="minorHAnsi"/>
          <w:b/>
          <w:sz w:val="22"/>
          <w:szCs w:val="22"/>
        </w:rPr>
        <w:t>. Zvláštní ustanovení</w:t>
      </w:r>
    </w:p>
    <w:p w:rsidR="007A69AA" w:rsidRDefault="00491F3A" w:rsidP="007A69AA">
      <w:pPr>
        <w:widowControl/>
        <w:numPr>
          <w:ilvl w:val="0"/>
          <w:numId w:val="12"/>
        </w:numPr>
        <w:overflowPunct/>
        <w:autoSpaceDE/>
        <w:autoSpaceDN/>
        <w:adjustRightInd/>
        <w:spacing w:before="120" w:after="60" w:line="276" w:lineRule="auto"/>
        <w:ind w:left="425" w:hanging="425"/>
        <w:textAlignment w:val="auto"/>
        <w:rPr>
          <w:rFonts w:asciiTheme="minorHAnsi" w:hAnsiTheme="minorHAnsi"/>
          <w:sz w:val="22"/>
          <w:szCs w:val="22"/>
        </w:rPr>
      </w:pPr>
      <w:r>
        <w:rPr>
          <w:rFonts w:asciiTheme="minorHAnsi" w:hAnsiTheme="minorHAnsi"/>
          <w:sz w:val="22"/>
          <w:szCs w:val="22"/>
        </w:rPr>
        <w:t xml:space="preserve">Ukladatel bere na vědomí, že </w:t>
      </w:r>
      <w:r w:rsidR="00671877">
        <w:rPr>
          <w:rFonts w:asciiTheme="minorHAnsi" w:hAnsiTheme="minorHAnsi"/>
          <w:sz w:val="22"/>
          <w:szCs w:val="22"/>
        </w:rPr>
        <w:t xml:space="preserve">s ohledem na relevantní energetickou legislativu dochází </w:t>
      </w:r>
      <w:r>
        <w:rPr>
          <w:rFonts w:asciiTheme="minorHAnsi" w:hAnsiTheme="minorHAnsi"/>
          <w:sz w:val="22"/>
          <w:szCs w:val="22"/>
        </w:rPr>
        <w:t xml:space="preserve">z podstaty fungování virtuálního zásobníku plynu k míchání plynu ukladatele a </w:t>
      </w:r>
      <w:r w:rsidR="00671877">
        <w:rPr>
          <w:rFonts w:asciiTheme="minorHAnsi" w:hAnsiTheme="minorHAnsi"/>
          <w:sz w:val="22"/>
          <w:szCs w:val="22"/>
        </w:rPr>
        <w:t>plynu uloženého třetími stranami</w:t>
      </w:r>
      <w:r>
        <w:rPr>
          <w:rFonts w:asciiTheme="minorHAnsi" w:hAnsiTheme="minorHAnsi"/>
          <w:sz w:val="22"/>
          <w:szCs w:val="22"/>
        </w:rPr>
        <w:t>, které jsou ke skladovateli v obdobných vztazích jako ukladatel.</w:t>
      </w:r>
      <w:r w:rsidR="00671877">
        <w:rPr>
          <w:rFonts w:asciiTheme="minorHAnsi" w:hAnsiTheme="minorHAnsi"/>
          <w:sz w:val="22"/>
          <w:szCs w:val="22"/>
        </w:rPr>
        <w:t xml:space="preserve"> Ukladatel souhlasí s takovým způsobem poskytování Služby.</w:t>
      </w:r>
      <w:r>
        <w:rPr>
          <w:rFonts w:asciiTheme="minorHAnsi" w:hAnsiTheme="minorHAnsi"/>
          <w:sz w:val="22"/>
          <w:szCs w:val="22"/>
        </w:rPr>
        <w:t xml:space="preserve"> Pro vyloučení pochybností smluvní strany sjednávají vyloučení případné aplikace (i per </w:t>
      </w:r>
      <w:proofErr w:type="spellStart"/>
      <w:r>
        <w:rPr>
          <w:rFonts w:asciiTheme="minorHAnsi" w:hAnsiTheme="minorHAnsi"/>
          <w:sz w:val="22"/>
          <w:szCs w:val="22"/>
        </w:rPr>
        <w:t>analogiam</w:t>
      </w:r>
      <w:proofErr w:type="spellEnd"/>
      <w:r>
        <w:rPr>
          <w:rFonts w:asciiTheme="minorHAnsi" w:hAnsiTheme="minorHAnsi"/>
          <w:sz w:val="22"/>
          <w:szCs w:val="22"/>
        </w:rPr>
        <w:t>) ustanovení § 2420 zákona č. 89/2012 Sb., občanský zákoník, v účinném znění (dále jen „občanský zákoník“).</w:t>
      </w:r>
    </w:p>
    <w:p w:rsidR="00D932A0" w:rsidRPr="0060046F" w:rsidRDefault="00D932A0" w:rsidP="007A69AA">
      <w:pPr>
        <w:widowControl/>
        <w:numPr>
          <w:ilvl w:val="0"/>
          <w:numId w:val="12"/>
        </w:numPr>
        <w:overflowPunct/>
        <w:autoSpaceDE/>
        <w:autoSpaceDN/>
        <w:adjustRightInd/>
        <w:spacing w:before="120" w:after="60" w:line="276" w:lineRule="auto"/>
        <w:ind w:left="425" w:hanging="425"/>
        <w:textAlignment w:val="auto"/>
        <w:rPr>
          <w:rFonts w:asciiTheme="minorHAnsi" w:hAnsiTheme="minorHAnsi"/>
          <w:sz w:val="22"/>
          <w:szCs w:val="22"/>
        </w:rPr>
      </w:pPr>
      <w:r w:rsidRPr="0060046F">
        <w:rPr>
          <w:rFonts w:asciiTheme="minorHAnsi" w:hAnsiTheme="minorHAnsi"/>
          <w:sz w:val="22"/>
          <w:szCs w:val="22"/>
        </w:rPr>
        <w:t xml:space="preserve">Ukladatel touto Smlouvou uděluje skladovateli neodvolatelné a nezrušitelné právo na obstarání prodeje </w:t>
      </w:r>
      <w:r w:rsidR="005C2A42" w:rsidRPr="0060046F">
        <w:rPr>
          <w:rFonts w:asciiTheme="minorHAnsi" w:hAnsiTheme="minorHAnsi"/>
          <w:sz w:val="22"/>
          <w:szCs w:val="22"/>
        </w:rPr>
        <w:t xml:space="preserve">nevytěženého </w:t>
      </w:r>
      <w:r w:rsidRPr="0060046F">
        <w:rPr>
          <w:rFonts w:asciiTheme="minorHAnsi" w:hAnsiTheme="minorHAnsi"/>
          <w:sz w:val="22"/>
          <w:szCs w:val="22"/>
        </w:rPr>
        <w:t>plyn</w:t>
      </w:r>
      <w:r w:rsidR="007A69AA">
        <w:rPr>
          <w:rFonts w:asciiTheme="minorHAnsi" w:hAnsiTheme="minorHAnsi"/>
          <w:sz w:val="22"/>
          <w:szCs w:val="22"/>
        </w:rPr>
        <w:t>u, který byl v souladu s touto S</w:t>
      </w:r>
      <w:r w:rsidRPr="0060046F">
        <w:rPr>
          <w:rFonts w:asciiTheme="minorHAnsi" w:hAnsiTheme="minorHAnsi"/>
          <w:sz w:val="22"/>
          <w:szCs w:val="22"/>
        </w:rPr>
        <w:t>mlouvou vtlačen do</w:t>
      </w:r>
      <w:r w:rsidR="00491F3A">
        <w:rPr>
          <w:rFonts w:asciiTheme="minorHAnsi" w:hAnsiTheme="minorHAnsi"/>
          <w:sz w:val="22"/>
          <w:szCs w:val="22"/>
        </w:rPr>
        <w:t xml:space="preserve"> virtuálního</w:t>
      </w:r>
      <w:r w:rsidRPr="0060046F">
        <w:rPr>
          <w:rFonts w:asciiTheme="minorHAnsi" w:hAnsiTheme="minorHAnsi"/>
          <w:sz w:val="22"/>
          <w:szCs w:val="22"/>
        </w:rPr>
        <w:t xml:space="preserve"> zásobníku plynu skladovatele a v tomto zásobníku se v době využití tohoto práva skladovatele nachází. Smluvní strany výslovně uvádějí, že toto právo na obstarání prodeje trvá i po ukončení platnosti nebo účinnosti této Smlouvy. </w:t>
      </w:r>
    </w:p>
    <w:p w:rsidR="00D932A0" w:rsidRPr="0060046F" w:rsidRDefault="00D932A0" w:rsidP="007A69AA">
      <w:pPr>
        <w:widowControl/>
        <w:numPr>
          <w:ilvl w:val="0"/>
          <w:numId w:val="12"/>
        </w:numPr>
        <w:overflowPunct/>
        <w:autoSpaceDE/>
        <w:autoSpaceDN/>
        <w:adjustRightInd/>
        <w:spacing w:before="120" w:after="60" w:line="276" w:lineRule="auto"/>
        <w:ind w:left="425" w:hanging="425"/>
        <w:textAlignment w:val="auto"/>
        <w:rPr>
          <w:rFonts w:asciiTheme="minorHAnsi" w:hAnsiTheme="minorHAnsi"/>
          <w:sz w:val="22"/>
          <w:szCs w:val="22"/>
        </w:rPr>
      </w:pPr>
      <w:r w:rsidRPr="0060046F">
        <w:rPr>
          <w:rFonts w:asciiTheme="minorHAnsi" w:hAnsiTheme="minorHAnsi"/>
          <w:sz w:val="22"/>
          <w:szCs w:val="22"/>
        </w:rPr>
        <w:t xml:space="preserve">Prodej plynu je oprávněn skladovatel provést svým jménem na účet ukladatele s tím, že skladovatel má zároveň právo započíst své pohledávky vyplývající z této smlouvy oproti pohledávce ukladatele na vyplacení ceny za prodaný </w:t>
      </w:r>
      <w:r w:rsidR="005C2A42" w:rsidRPr="0060046F">
        <w:rPr>
          <w:rFonts w:asciiTheme="minorHAnsi" w:hAnsiTheme="minorHAnsi"/>
          <w:sz w:val="22"/>
          <w:szCs w:val="22"/>
        </w:rPr>
        <w:t xml:space="preserve">nevytěžený </w:t>
      </w:r>
      <w:r w:rsidRPr="0060046F">
        <w:rPr>
          <w:rFonts w:asciiTheme="minorHAnsi" w:hAnsiTheme="minorHAnsi"/>
          <w:sz w:val="22"/>
          <w:szCs w:val="22"/>
        </w:rPr>
        <w:t>plyn</w:t>
      </w:r>
      <w:r w:rsidR="005C2A42" w:rsidRPr="0060046F">
        <w:rPr>
          <w:rFonts w:asciiTheme="minorHAnsi" w:hAnsiTheme="minorHAnsi"/>
          <w:sz w:val="22"/>
          <w:szCs w:val="22"/>
        </w:rPr>
        <w:t>.</w:t>
      </w:r>
    </w:p>
    <w:p w:rsidR="00D932A0" w:rsidRPr="0060046F" w:rsidRDefault="00D932A0" w:rsidP="007A69AA">
      <w:pPr>
        <w:widowControl/>
        <w:numPr>
          <w:ilvl w:val="0"/>
          <w:numId w:val="12"/>
        </w:numPr>
        <w:overflowPunct/>
        <w:autoSpaceDE/>
        <w:autoSpaceDN/>
        <w:adjustRightInd/>
        <w:spacing w:before="120" w:after="60" w:line="276" w:lineRule="auto"/>
        <w:ind w:left="425" w:hanging="425"/>
        <w:textAlignment w:val="auto"/>
        <w:rPr>
          <w:rFonts w:asciiTheme="minorHAnsi" w:hAnsiTheme="minorHAnsi"/>
          <w:sz w:val="22"/>
          <w:szCs w:val="22"/>
        </w:rPr>
      </w:pPr>
      <w:r w:rsidRPr="0060046F">
        <w:rPr>
          <w:rFonts w:asciiTheme="minorHAnsi" w:hAnsiTheme="minorHAnsi"/>
          <w:sz w:val="22"/>
          <w:szCs w:val="22"/>
        </w:rPr>
        <w:t>Prodej plynu je skladovatel oprávněn provést pouze za podmínek uvedených ve Smlouvě, Řádu a obecně závazných právních předpisech.</w:t>
      </w:r>
    </w:p>
    <w:p w:rsidR="00D932A0" w:rsidRPr="0060046F" w:rsidRDefault="00D932A0" w:rsidP="0060046F">
      <w:pPr>
        <w:spacing w:before="240" w:line="276" w:lineRule="auto"/>
        <w:jc w:val="center"/>
        <w:rPr>
          <w:rFonts w:asciiTheme="minorHAnsi" w:hAnsiTheme="minorHAnsi"/>
          <w:b/>
          <w:sz w:val="22"/>
          <w:szCs w:val="22"/>
        </w:rPr>
      </w:pPr>
      <w:r w:rsidRPr="0060046F">
        <w:rPr>
          <w:rFonts w:asciiTheme="minorHAnsi" w:hAnsiTheme="minorHAnsi"/>
          <w:b/>
          <w:sz w:val="22"/>
          <w:szCs w:val="22"/>
        </w:rPr>
        <w:t>VI</w:t>
      </w:r>
      <w:r w:rsidR="005C2A42" w:rsidRPr="0060046F">
        <w:rPr>
          <w:rFonts w:asciiTheme="minorHAnsi" w:hAnsiTheme="minorHAnsi"/>
          <w:b/>
          <w:sz w:val="22"/>
          <w:szCs w:val="22"/>
        </w:rPr>
        <w:t>II</w:t>
      </w:r>
      <w:r w:rsidRPr="0060046F">
        <w:rPr>
          <w:rFonts w:asciiTheme="minorHAnsi" w:hAnsiTheme="minorHAnsi"/>
          <w:b/>
          <w:sz w:val="22"/>
          <w:szCs w:val="22"/>
        </w:rPr>
        <w:t>. Závěrečná ustanovení</w:t>
      </w:r>
      <w:r w:rsidRPr="0060046F">
        <w:rPr>
          <w:rFonts w:asciiTheme="minorHAnsi" w:hAnsiTheme="minorHAnsi"/>
          <w:sz w:val="22"/>
          <w:szCs w:val="22"/>
        </w:rPr>
        <w:t xml:space="preserve"> </w:t>
      </w:r>
    </w:p>
    <w:p w:rsidR="00130255" w:rsidRPr="0060046F" w:rsidRDefault="00D932A0" w:rsidP="007A69AA">
      <w:pPr>
        <w:widowControl/>
        <w:numPr>
          <w:ilvl w:val="0"/>
          <w:numId w:val="8"/>
        </w:numPr>
        <w:overflowPunct/>
        <w:autoSpaceDE/>
        <w:autoSpaceDN/>
        <w:adjustRightInd/>
        <w:spacing w:before="120" w:after="60" w:line="276" w:lineRule="auto"/>
        <w:ind w:left="357" w:hanging="357"/>
        <w:textAlignment w:val="auto"/>
        <w:rPr>
          <w:rFonts w:asciiTheme="minorHAnsi" w:hAnsiTheme="minorHAnsi"/>
          <w:sz w:val="22"/>
          <w:szCs w:val="22"/>
        </w:rPr>
      </w:pPr>
      <w:r w:rsidRPr="0060046F">
        <w:rPr>
          <w:rFonts w:asciiTheme="minorHAnsi" w:hAnsiTheme="minorHAnsi"/>
          <w:sz w:val="22"/>
          <w:szCs w:val="22"/>
        </w:rPr>
        <w:t xml:space="preserve">Právní vztahy mezi smluvními stranami založené touto Smlouvou a zvlášť v ní neupravené se řídí příslušnými ustanoveními </w:t>
      </w:r>
      <w:r w:rsidR="00491F3A">
        <w:rPr>
          <w:rFonts w:asciiTheme="minorHAnsi" w:hAnsiTheme="minorHAnsi"/>
          <w:sz w:val="22"/>
          <w:szCs w:val="22"/>
        </w:rPr>
        <w:t>občanského zákoníku</w:t>
      </w:r>
      <w:r w:rsidRPr="0060046F">
        <w:rPr>
          <w:rFonts w:asciiTheme="minorHAnsi" w:hAnsiTheme="minorHAnsi"/>
          <w:sz w:val="22"/>
          <w:szCs w:val="22"/>
        </w:rPr>
        <w:t>.</w:t>
      </w:r>
      <w:r w:rsidR="00557BAB">
        <w:rPr>
          <w:rFonts w:asciiTheme="minorHAnsi" w:hAnsiTheme="minorHAnsi"/>
          <w:sz w:val="22"/>
          <w:szCs w:val="22"/>
        </w:rPr>
        <w:t xml:space="preserve"> Všechny spor z této Smlouvy vzniklé nebo s ní související budou rozhodnuty českými soudy, příslušnými dle místa sídla skladovatele.</w:t>
      </w:r>
      <w:r w:rsidR="001A510A" w:rsidRPr="0060046F">
        <w:rPr>
          <w:rFonts w:asciiTheme="minorHAnsi" w:hAnsiTheme="minorHAnsi"/>
          <w:sz w:val="22"/>
          <w:szCs w:val="22"/>
        </w:rPr>
        <w:t xml:space="preserve"> </w:t>
      </w:r>
    </w:p>
    <w:p w:rsidR="00D932A0" w:rsidRPr="0060046F" w:rsidRDefault="001A510A" w:rsidP="007A69AA">
      <w:pPr>
        <w:widowControl/>
        <w:numPr>
          <w:ilvl w:val="0"/>
          <w:numId w:val="8"/>
        </w:numPr>
        <w:overflowPunct/>
        <w:autoSpaceDE/>
        <w:autoSpaceDN/>
        <w:adjustRightInd/>
        <w:spacing w:before="120" w:after="60" w:line="276" w:lineRule="auto"/>
        <w:ind w:left="357" w:hanging="357"/>
        <w:textAlignment w:val="auto"/>
        <w:rPr>
          <w:rFonts w:asciiTheme="minorHAnsi" w:hAnsiTheme="minorHAnsi"/>
          <w:sz w:val="22"/>
          <w:szCs w:val="22"/>
        </w:rPr>
      </w:pPr>
      <w:r w:rsidRPr="0060046F">
        <w:rPr>
          <w:rFonts w:asciiTheme="minorHAnsi" w:hAnsiTheme="minorHAnsi"/>
          <w:sz w:val="22"/>
          <w:szCs w:val="22"/>
        </w:rPr>
        <w:t xml:space="preserve">Smluvní strany prohlašují, že tuto Smlouvu uzavírají </w:t>
      </w:r>
      <w:r w:rsidR="00130255" w:rsidRPr="0060046F">
        <w:rPr>
          <w:rFonts w:asciiTheme="minorHAnsi" w:hAnsiTheme="minorHAnsi"/>
          <w:sz w:val="22"/>
          <w:szCs w:val="22"/>
        </w:rPr>
        <w:t xml:space="preserve">při výkonu své podnikatelské činnosti a nejsou si vědomy skutečností, které by mohly vést k závěru, že jedna smluvní strana je vůči druhé v postavení slabší </w:t>
      </w:r>
      <w:r w:rsidR="00130255" w:rsidRPr="0060046F">
        <w:rPr>
          <w:rFonts w:asciiTheme="minorHAnsi" w:hAnsiTheme="minorHAnsi"/>
          <w:sz w:val="22"/>
          <w:szCs w:val="22"/>
        </w:rPr>
        <w:lastRenderedPageBreak/>
        <w:t xml:space="preserve">smluvní strany. Smluvní strany </w:t>
      </w:r>
      <w:r w:rsidR="000F5F93" w:rsidRPr="0060046F">
        <w:rPr>
          <w:rFonts w:asciiTheme="minorHAnsi" w:hAnsiTheme="minorHAnsi"/>
          <w:sz w:val="22"/>
          <w:szCs w:val="22"/>
        </w:rPr>
        <w:t xml:space="preserve">dále </w:t>
      </w:r>
      <w:r w:rsidR="00130255" w:rsidRPr="0060046F">
        <w:rPr>
          <w:rFonts w:asciiTheme="minorHAnsi" w:hAnsiTheme="minorHAnsi"/>
          <w:sz w:val="22"/>
          <w:szCs w:val="22"/>
        </w:rPr>
        <w:t>prohlašují, že obsah této Smlouvy považují ve smyslu ustanovení § 1801 občanského zákoníku za neodporující obchodním zvyklostem v plynárenství.</w:t>
      </w:r>
      <w:r w:rsidRPr="0060046F">
        <w:rPr>
          <w:rFonts w:asciiTheme="minorHAnsi" w:hAnsiTheme="minorHAnsi"/>
          <w:sz w:val="22"/>
          <w:szCs w:val="22"/>
        </w:rPr>
        <w:t xml:space="preserve"> </w:t>
      </w:r>
    </w:p>
    <w:p w:rsidR="001A510A" w:rsidRPr="0060046F" w:rsidRDefault="00130255" w:rsidP="007A69AA">
      <w:pPr>
        <w:widowControl/>
        <w:numPr>
          <w:ilvl w:val="0"/>
          <w:numId w:val="8"/>
        </w:numPr>
        <w:tabs>
          <w:tab w:val="num" w:pos="426"/>
        </w:tabs>
        <w:overflowPunct/>
        <w:autoSpaceDE/>
        <w:autoSpaceDN/>
        <w:adjustRightInd/>
        <w:spacing w:before="120" w:after="60" w:line="276" w:lineRule="auto"/>
        <w:textAlignment w:val="auto"/>
        <w:rPr>
          <w:rFonts w:asciiTheme="minorHAnsi" w:hAnsiTheme="minorHAnsi"/>
          <w:sz w:val="22"/>
          <w:szCs w:val="22"/>
        </w:rPr>
      </w:pPr>
      <w:r w:rsidRPr="0060046F">
        <w:rPr>
          <w:rFonts w:asciiTheme="minorHAnsi" w:hAnsiTheme="minorHAnsi"/>
          <w:sz w:val="22"/>
          <w:szCs w:val="22"/>
        </w:rPr>
        <w:t>Smluvní strany uznávají,</w:t>
      </w:r>
      <w:r w:rsidR="000F5F93" w:rsidRPr="0060046F">
        <w:rPr>
          <w:rFonts w:asciiTheme="minorHAnsi" w:hAnsiTheme="minorHAnsi"/>
          <w:sz w:val="22"/>
          <w:szCs w:val="22"/>
        </w:rPr>
        <w:t xml:space="preserve"> </w:t>
      </w:r>
      <w:r w:rsidRPr="0060046F">
        <w:rPr>
          <w:rFonts w:asciiTheme="minorHAnsi" w:hAnsiTheme="minorHAnsi"/>
          <w:sz w:val="22"/>
          <w:szCs w:val="22"/>
        </w:rPr>
        <w:t xml:space="preserve">že </w:t>
      </w:r>
      <w:r w:rsidR="001A510A" w:rsidRPr="0060046F">
        <w:rPr>
          <w:rFonts w:asciiTheme="minorHAnsi" w:hAnsiTheme="minorHAnsi"/>
          <w:sz w:val="22"/>
          <w:szCs w:val="22"/>
        </w:rPr>
        <w:t xml:space="preserve">Řád </w:t>
      </w:r>
      <w:r w:rsidR="000F5F93" w:rsidRPr="0060046F">
        <w:rPr>
          <w:rFonts w:asciiTheme="minorHAnsi" w:hAnsiTheme="minorHAnsi"/>
          <w:sz w:val="22"/>
          <w:szCs w:val="22"/>
        </w:rPr>
        <w:t xml:space="preserve">není </w:t>
      </w:r>
      <w:r w:rsidR="001A510A" w:rsidRPr="0060046F">
        <w:rPr>
          <w:rFonts w:asciiTheme="minorHAnsi" w:hAnsiTheme="minorHAnsi"/>
          <w:sz w:val="22"/>
          <w:szCs w:val="22"/>
        </w:rPr>
        <w:t>obchodní</w:t>
      </w:r>
      <w:r w:rsidR="000F5F93" w:rsidRPr="0060046F">
        <w:rPr>
          <w:rFonts w:asciiTheme="minorHAnsi" w:hAnsiTheme="minorHAnsi"/>
          <w:sz w:val="22"/>
          <w:szCs w:val="22"/>
        </w:rPr>
        <w:t>mi</w:t>
      </w:r>
      <w:r w:rsidR="001A510A" w:rsidRPr="0060046F">
        <w:rPr>
          <w:rFonts w:asciiTheme="minorHAnsi" w:hAnsiTheme="minorHAnsi"/>
          <w:sz w:val="22"/>
          <w:szCs w:val="22"/>
        </w:rPr>
        <w:t xml:space="preserve"> podmínk</w:t>
      </w:r>
      <w:r w:rsidR="000F5F93" w:rsidRPr="0060046F">
        <w:rPr>
          <w:rFonts w:asciiTheme="minorHAnsi" w:hAnsiTheme="minorHAnsi"/>
          <w:sz w:val="22"/>
          <w:szCs w:val="22"/>
        </w:rPr>
        <w:t>ami skladovatele</w:t>
      </w:r>
      <w:r w:rsidR="001A510A" w:rsidRPr="0060046F">
        <w:rPr>
          <w:rFonts w:asciiTheme="minorHAnsi" w:hAnsiTheme="minorHAnsi"/>
          <w:sz w:val="22"/>
          <w:szCs w:val="22"/>
        </w:rPr>
        <w:t xml:space="preserve"> ve smyslu ustanovení §</w:t>
      </w:r>
      <w:r w:rsidRPr="0060046F">
        <w:rPr>
          <w:rFonts w:asciiTheme="minorHAnsi" w:hAnsiTheme="minorHAnsi"/>
          <w:sz w:val="22"/>
          <w:szCs w:val="22"/>
        </w:rPr>
        <w:t> </w:t>
      </w:r>
      <w:r w:rsidR="001A510A" w:rsidRPr="0060046F">
        <w:rPr>
          <w:rFonts w:asciiTheme="minorHAnsi" w:hAnsiTheme="minorHAnsi"/>
          <w:sz w:val="22"/>
          <w:szCs w:val="22"/>
        </w:rPr>
        <w:t>1751 a násl. občansk</w:t>
      </w:r>
      <w:r w:rsidRPr="0060046F">
        <w:rPr>
          <w:rFonts w:asciiTheme="minorHAnsi" w:hAnsiTheme="minorHAnsi"/>
          <w:sz w:val="22"/>
          <w:szCs w:val="22"/>
        </w:rPr>
        <w:t>ého</w:t>
      </w:r>
      <w:r w:rsidR="001A510A" w:rsidRPr="0060046F">
        <w:rPr>
          <w:rFonts w:asciiTheme="minorHAnsi" w:hAnsiTheme="minorHAnsi"/>
          <w:sz w:val="22"/>
          <w:szCs w:val="22"/>
        </w:rPr>
        <w:t xml:space="preserve"> zákoník</w:t>
      </w:r>
      <w:r w:rsidRPr="0060046F">
        <w:rPr>
          <w:rFonts w:asciiTheme="minorHAnsi" w:hAnsiTheme="minorHAnsi"/>
          <w:sz w:val="22"/>
          <w:szCs w:val="22"/>
        </w:rPr>
        <w:t>u</w:t>
      </w:r>
      <w:r w:rsidR="001A510A" w:rsidRPr="0060046F">
        <w:rPr>
          <w:rFonts w:asciiTheme="minorHAnsi" w:hAnsiTheme="minorHAnsi"/>
          <w:sz w:val="22"/>
          <w:szCs w:val="22"/>
        </w:rPr>
        <w:t xml:space="preserve">, jelikož je ve smyslu ustanovení § 97a energetického zákona předmětem </w:t>
      </w:r>
      <w:r w:rsidR="00491F3A">
        <w:rPr>
          <w:rFonts w:asciiTheme="minorHAnsi" w:hAnsiTheme="minorHAnsi"/>
          <w:sz w:val="22"/>
          <w:szCs w:val="22"/>
        </w:rPr>
        <w:t xml:space="preserve">veřejného </w:t>
      </w:r>
      <w:r w:rsidR="001A510A" w:rsidRPr="0060046F">
        <w:rPr>
          <w:rFonts w:asciiTheme="minorHAnsi" w:hAnsiTheme="minorHAnsi"/>
          <w:sz w:val="22"/>
          <w:szCs w:val="22"/>
        </w:rPr>
        <w:t>schvalovacího resp. stanovovacího řízení před Energetickým regulačním úřadem</w:t>
      </w:r>
      <w:r w:rsidRPr="0060046F">
        <w:rPr>
          <w:rFonts w:asciiTheme="minorHAnsi" w:hAnsiTheme="minorHAnsi"/>
          <w:sz w:val="22"/>
          <w:szCs w:val="22"/>
        </w:rPr>
        <w:t>.</w:t>
      </w:r>
      <w:r w:rsidR="001A510A" w:rsidRPr="0060046F">
        <w:rPr>
          <w:rFonts w:asciiTheme="minorHAnsi" w:hAnsiTheme="minorHAnsi"/>
          <w:sz w:val="22"/>
          <w:szCs w:val="22"/>
        </w:rPr>
        <w:t xml:space="preserve"> </w:t>
      </w:r>
    </w:p>
    <w:p w:rsidR="002830DD" w:rsidRPr="0060046F" w:rsidRDefault="002830DD" w:rsidP="007A69AA">
      <w:pPr>
        <w:widowControl/>
        <w:numPr>
          <w:ilvl w:val="0"/>
          <w:numId w:val="8"/>
        </w:numPr>
        <w:overflowPunct/>
        <w:autoSpaceDE/>
        <w:autoSpaceDN/>
        <w:adjustRightInd/>
        <w:spacing w:before="120" w:after="60" w:line="276" w:lineRule="auto"/>
        <w:ind w:left="357" w:hanging="357"/>
        <w:textAlignment w:val="auto"/>
        <w:rPr>
          <w:rFonts w:asciiTheme="minorHAnsi" w:hAnsiTheme="minorHAnsi"/>
          <w:sz w:val="22"/>
          <w:szCs w:val="22"/>
        </w:rPr>
      </w:pPr>
      <w:r w:rsidRPr="0060046F">
        <w:rPr>
          <w:rFonts w:asciiTheme="minorHAnsi" w:hAnsiTheme="minorHAnsi"/>
          <w:sz w:val="22"/>
          <w:szCs w:val="22"/>
        </w:rPr>
        <w:t xml:space="preserve">S ohledem na regulovanou povahu činnosti skladovatele a způsob přidělovaní skladovacích kapacit prostřednictvím elektronických aukcí dle vyhlášky č. </w:t>
      </w:r>
      <w:r w:rsidR="003D3FBE" w:rsidRPr="0060046F">
        <w:rPr>
          <w:rFonts w:asciiTheme="minorHAnsi" w:hAnsiTheme="minorHAnsi"/>
          <w:sz w:val="22"/>
          <w:szCs w:val="22"/>
        </w:rPr>
        <w:t>349/2015</w:t>
      </w:r>
      <w:r w:rsidRPr="0060046F">
        <w:rPr>
          <w:rFonts w:asciiTheme="minorHAnsi" w:hAnsiTheme="minorHAnsi"/>
          <w:sz w:val="22"/>
          <w:szCs w:val="22"/>
        </w:rPr>
        <w:t xml:space="preserve"> Sb., o pravidlech trhu s plynem, ve znění pozdějších předpisů, smluvní strany prohlašují, že ustanovení § 1765 a 1766 občanského zákoníku se pro tento smluvní vztah neaplikuje. Ukladatel ve smyslu ustanovení §</w:t>
      </w:r>
      <w:r w:rsidR="00222845" w:rsidRPr="0060046F">
        <w:rPr>
          <w:rFonts w:asciiTheme="minorHAnsi" w:hAnsiTheme="minorHAnsi"/>
          <w:sz w:val="22"/>
          <w:szCs w:val="22"/>
        </w:rPr>
        <w:t> </w:t>
      </w:r>
      <w:r w:rsidRPr="0060046F">
        <w:rPr>
          <w:rFonts w:asciiTheme="minorHAnsi" w:hAnsiTheme="minorHAnsi"/>
          <w:sz w:val="22"/>
          <w:szCs w:val="22"/>
        </w:rPr>
        <w:t>1765 odst. 2 občanského zákoníku přeb</w:t>
      </w:r>
      <w:r w:rsidR="00263C38" w:rsidRPr="0060046F">
        <w:rPr>
          <w:rFonts w:asciiTheme="minorHAnsi" w:hAnsiTheme="minorHAnsi"/>
          <w:sz w:val="22"/>
          <w:szCs w:val="22"/>
        </w:rPr>
        <w:t>í</w:t>
      </w:r>
      <w:r w:rsidRPr="0060046F">
        <w:rPr>
          <w:rFonts w:asciiTheme="minorHAnsi" w:hAnsiTheme="minorHAnsi"/>
          <w:sz w:val="22"/>
          <w:szCs w:val="22"/>
        </w:rPr>
        <w:t>rá na sebe nebezpečí změny okolností.</w:t>
      </w:r>
    </w:p>
    <w:p w:rsidR="00D932A0" w:rsidRPr="0060046F" w:rsidRDefault="00D932A0" w:rsidP="007A69AA">
      <w:pPr>
        <w:widowControl/>
        <w:numPr>
          <w:ilvl w:val="0"/>
          <w:numId w:val="8"/>
        </w:numPr>
        <w:overflowPunct/>
        <w:autoSpaceDE/>
        <w:autoSpaceDN/>
        <w:adjustRightInd/>
        <w:spacing w:before="120" w:after="60" w:line="276" w:lineRule="auto"/>
        <w:ind w:left="357" w:hanging="357"/>
        <w:textAlignment w:val="auto"/>
        <w:rPr>
          <w:rFonts w:asciiTheme="minorHAnsi" w:hAnsiTheme="minorHAnsi"/>
          <w:sz w:val="22"/>
          <w:szCs w:val="22"/>
        </w:rPr>
      </w:pPr>
      <w:r w:rsidRPr="0060046F">
        <w:rPr>
          <w:rFonts w:asciiTheme="minorHAnsi" w:hAnsiTheme="minorHAnsi"/>
          <w:sz w:val="22"/>
          <w:szCs w:val="22"/>
        </w:rPr>
        <w:t>Smluvní strany se vzájemně zavazují, že budou chránit a utajovat před třetími osobami důvěrné informace. Žádná ze smluvních stran bez písemného souhlasu druhé smluvní strany neposkytne informace o obsahu této smlouvy a ostatní důvěrné informace, které se v souvislosti se Smlouvou dověděla, s výjimkou veřejně publikovaných informací, a to ani v dílčím rozsahu třetí straně, s výjimkou osob ovládajících a osob ovládaných stejnou ovládající osobou. Stejným způsobem budou strany chránit důvěrné informace a skutečnosti tvořící obchodní tajemství třetí osoby, které byly touto třetí stranou některé ze smluvních stran poskytnuty se svolením. Závazek ochrany utajení trvá po celou dobu trvání skutečností tvořících obchodní tajemství nebo trvání zájmu chránění důvěrných informací.</w:t>
      </w:r>
    </w:p>
    <w:p w:rsidR="00D932A0" w:rsidRPr="0060046F" w:rsidRDefault="00D932A0" w:rsidP="007A69AA">
      <w:pPr>
        <w:widowControl/>
        <w:numPr>
          <w:ilvl w:val="0"/>
          <w:numId w:val="8"/>
        </w:numPr>
        <w:overflowPunct/>
        <w:autoSpaceDE/>
        <w:autoSpaceDN/>
        <w:adjustRightInd/>
        <w:spacing w:before="120" w:after="60" w:line="276" w:lineRule="auto"/>
        <w:ind w:left="357" w:hanging="357"/>
        <w:textAlignment w:val="auto"/>
        <w:rPr>
          <w:rFonts w:asciiTheme="minorHAnsi" w:hAnsiTheme="minorHAnsi"/>
          <w:sz w:val="22"/>
          <w:szCs w:val="22"/>
        </w:rPr>
      </w:pPr>
      <w:r w:rsidRPr="0060046F">
        <w:rPr>
          <w:rFonts w:asciiTheme="minorHAnsi" w:hAnsiTheme="minorHAnsi"/>
          <w:sz w:val="22"/>
          <w:szCs w:val="22"/>
        </w:rPr>
        <w:t>Tato Smlouva může být měněna nebo doplňována pouze formou písemných dodatků podepsaných odpovědnými zástupci obou smluvních stran s tím, že způsob změny a doplňování Řádu je dále uveden v článku II</w:t>
      </w:r>
      <w:r w:rsidR="000F5F93" w:rsidRPr="0060046F">
        <w:rPr>
          <w:rFonts w:asciiTheme="minorHAnsi" w:hAnsiTheme="minorHAnsi"/>
          <w:sz w:val="22"/>
          <w:szCs w:val="22"/>
        </w:rPr>
        <w:t>.</w:t>
      </w:r>
      <w:r w:rsidRPr="0060046F">
        <w:rPr>
          <w:rFonts w:asciiTheme="minorHAnsi" w:hAnsiTheme="minorHAnsi"/>
          <w:sz w:val="22"/>
          <w:szCs w:val="22"/>
        </w:rPr>
        <w:t xml:space="preserve"> Smlouvy a v Řádu. </w:t>
      </w:r>
    </w:p>
    <w:p w:rsidR="00D932A0" w:rsidRPr="00613764" w:rsidRDefault="00D932A0" w:rsidP="002C0C81">
      <w:pPr>
        <w:widowControl/>
        <w:numPr>
          <w:ilvl w:val="0"/>
          <w:numId w:val="8"/>
        </w:numPr>
        <w:tabs>
          <w:tab w:val="num" w:pos="0"/>
          <w:tab w:val="num" w:pos="426"/>
        </w:tabs>
        <w:overflowPunct/>
        <w:autoSpaceDE/>
        <w:autoSpaceDN/>
        <w:adjustRightInd/>
        <w:spacing w:before="120" w:after="60" w:line="276" w:lineRule="auto"/>
        <w:ind w:left="357" w:hanging="357"/>
        <w:textAlignment w:val="auto"/>
        <w:rPr>
          <w:rFonts w:asciiTheme="minorHAnsi" w:hAnsiTheme="minorHAnsi"/>
          <w:sz w:val="22"/>
          <w:szCs w:val="22"/>
        </w:rPr>
      </w:pPr>
      <w:r w:rsidRPr="00613764">
        <w:rPr>
          <w:rFonts w:asciiTheme="minorHAnsi" w:hAnsiTheme="minorHAnsi"/>
          <w:sz w:val="22"/>
          <w:szCs w:val="22"/>
        </w:rPr>
        <w:t>Ukladatel, který je zároveň zákazníkem (§62 energetického zákona), je oprávněn odstoupit od této Smlouvy v případě neplnění smluvních povinností ze strany skladovatele nebo v případě nesouhlasu se skladovatelem navrhovanou změnou smluvních podmínek, které nejsou vyvolány změnou obecně závazných právních předpisů nebo rozhodnutím příslušného orgánu státní správy.</w:t>
      </w:r>
      <w:r w:rsidR="005503AA" w:rsidRPr="00613764">
        <w:rPr>
          <w:rFonts w:asciiTheme="minorHAnsi" w:hAnsiTheme="minorHAnsi"/>
          <w:sz w:val="22"/>
          <w:szCs w:val="22"/>
        </w:rPr>
        <w:t xml:space="preserve"> </w:t>
      </w:r>
      <w:r w:rsidR="00613764" w:rsidRPr="00613764">
        <w:rPr>
          <w:rFonts w:asciiTheme="minorHAnsi" w:hAnsiTheme="minorHAnsi"/>
          <w:sz w:val="22"/>
          <w:szCs w:val="22"/>
        </w:rPr>
        <w:t>O změně smluvních podmínek bude ukladatel vyrozuměn písemně alespoň 30 dnů před</w:t>
      </w:r>
      <w:r w:rsidR="00557BAB">
        <w:rPr>
          <w:rFonts w:asciiTheme="minorHAnsi" w:hAnsiTheme="minorHAnsi"/>
          <w:sz w:val="22"/>
          <w:szCs w:val="22"/>
        </w:rPr>
        <w:t xml:space="preserve"> dnem účinnosti změny</w:t>
      </w:r>
      <w:r w:rsidR="00613764" w:rsidRPr="00613764">
        <w:rPr>
          <w:rFonts w:asciiTheme="minorHAnsi" w:hAnsiTheme="minorHAnsi"/>
          <w:sz w:val="22"/>
          <w:szCs w:val="22"/>
        </w:rPr>
        <w:t xml:space="preserve">. </w:t>
      </w:r>
      <w:r w:rsidR="005503AA" w:rsidRPr="00613764">
        <w:rPr>
          <w:rFonts w:asciiTheme="minorHAnsi" w:hAnsiTheme="minorHAnsi"/>
          <w:sz w:val="22"/>
          <w:szCs w:val="22"/>
        </w:rPr>
        <w:t>V případě odstoupení od smlouvy z důvodu nesouhlasu se skladovatelem navrhovanou změnou smluvních podmínek toto právo</w:t>
      </w:r>
      <w:r w:rsidR="00193B3E" w:rsidRPr="00613764">
        <w:rPr>
          <w:rFonts w:asciiTheme="minorHAnsi" w:hAnsiTheme="minorHAnsi"/>
          <w:sz w:val="22"/>
          <w:szCs w:val="22"/>
        </w:rPr>
        <w:t xml:space="preserve"> na odstoupení</w:t>
      </w:r>
      <w:r w:rsidR="005503AA" w:rsidRPr="00613764">
        <w:rPr>
          <w:rFonts w:asciiTheme="minorHAnsi" w:hAnsiTheme="minorHAnsi"/>
          <w:sz w:val="22"/>
          <w:szCs w:val="22"/>
        </w:rPr>
        <w:t xml:space="preserve"> zaniká</w:t>
      </w:r>
      <w:r w:rsidR="005F1A2E" w:rsidRPr="00613764">
        <w:rPr>
          <w:rFonts w:asciiTheme="minorHAnsi" w:hAnsiTheme="minorHAnsi"/>
          <w:sz w:val="22"/>
          <w:szCs w:val="22"/>
        </w:rPr>
        <w:t>,</w:t>
      </w:r>
      <w:r w:rsidR="005503AA" w:rsidRPr="00613764">
        <w:rPr>
          <w:rFonts w:asciiTheme="minorHAnsi" w:hAnsiTheme="minorHAnsi"/>
          <w:sz w:val="22"/>
          <w:szCs w:val="22"/>
        </w:rPr>
        <w:t xml:space="preserve"> pokud příslušný ukladatel neodstoupil od Smlouvy do 90 dnů </w:t>
      </w:r>
      <w:r w:rsidR="00193B3E" w:rsidRPr="00613764">
        <w:rPr>
          <w:rFonts w:asciiTheme="minorHAnsi" w:hAnsiTheme="minorHAnsi"/>
          <w:sz w:val="22"/>
          <w:szCs w:val="22"/>
        </w:rPr>
        <w:t>ode dne</w:t>
      </w:r>
      <w:r w:rsidR="005F1A2E" w:rsidRPr="00613764">
        <w:rPr>
          <w:rFonts w:asciiTheme="minorHAnsi" w:hAnsiTheme="minorHAnsi"/>
          <w:sz w:val="22"/>
          <w:szCs w:val="22"/>
        </w:rPr>
        <w:t>,</w:t>
      </w:r>
      <w:r w:rsidR="00193B3E" w:rsidRPr="00613764">
        <w:rPr>
          <w:rFonts w:asciiTheme="minorHAnsi" w:hAnsiTheme="minorHAnsi"/>
          <w:sz w:val="22"/>
          <w:szCs w:val="22"/>
        </w:rPr>
        <w:t xml:space="preserve"> kdy se o návrhu změny smluvních podmínek dověděl</w:t>
      </w:r>
      <w:r w:rsidR="005F1A2E" w:rsidRPr="00613764">
        <w:rPr>
          <w:rFonts w:asciiTheme="minorHAnsi" w:hAnsiTheme="minorHAnsi"/>
          <w:sz w:val="22"/>
          <w:szCs w:val="22"/>
        </w:rPr>
        <w:t>,</w:t>
      </w:r>
      <w:r w:rsidR="00193B3E" w:rsidRPr="00613764">
        <w:rPr>
          <w:rFonts w:asciiTheme="minorHAnsi" w:hAnsiTheme="minorHAnsi"/>
          <w:sz w:val="22"/>
          <w:szCs w:val="22"/>
        </w:rPr>
        <w:t xml:space="preserve"> nebo mohl dovědět. </w:t>
      </w:r>
    </w:p>
    <w:p w:rsidR="00D932A0" w:rsidRPr="0060046F" w:rsidRDefault="00D932A0" w:rsidP="007A69AA">
      <w:pPr>
        <w:widowControl/>
        <w:numPr>
          <w:ilvl w:val="0"/>
          <w:numId w:val="8"/>
        </w:numPr>
        <w:overflowPunct/>
        <w:autoSpaceDE/>
        <w:autoSpaceDN/>
        <w:adjustRightInd/>
        <w:spacing w:before="120" w:after="60" w:line="276" w:lineRule="auto"/>
        <w:ind w:left="357" w:hanging="357"/>
        <w:textAlignment w:val="auto"/>
        <w:rPr>
          <w:rFonts w:asciiTheme="minorHAnsi" w:hAnsiTheme="minorHAnsi"/>
          <w:sz w:val="22"/>
          <w:szCs w:val="22"/>
        </w:rPr>
      </w:pPr>
      <w:r w:rsidRPr="0060046F">
        <w:rPr>
          <w:rFonts w:asciiTheme="minorHAnsi" w:hAnsiTheme="minorHAnsi"/>
          <w:sz w:val="22"/>
          <w:szCs w:val="22"/>
        </w:rPr>
        <w:t>Tato Smlouva je vyhotovena ve dvou výtiscích s platností originálu, ze kterých každá ze smluvních stran obdrží po jednom.</w:t>
      </w:r>
    </w:p>
    <w:p w:rsidR="00D932A0" w:rsidRPr="0060046F" w:rsidRDefault="00D932A0" w:rsidP="007A69AA">
      <w:pPr>
        <w:widowControl/>
        <w:numPr>
          <w:ilvl w:val="0"/>
          <w:numId w:val="8"/>
        </w:numPr>
        <w:overflowPunct/>
        <w:autoSpaceDE/>
        <w:autoSpaceDN/>
        <w:adjustRightInd/>
        <w:spacing w:before="120" w:after="60" w:line="276" w:lineRule="auto"/>
        <w:ind w:left="357" w:hanging="357"/>
        <w:textAlignment w:val="auto"/>
        <w:rPr>
          <w:rFonts w:asciiTheme="minorHAnsi" w:hAnsiTheme="minorHAnsi"/>
          <w:sz w:val="22"/>
          <w:szCs w:val="22"/>
        </w:rPr>
      </w:pPr>
      <w:r w:rsidRPr="0060046F">
        <w:rPr>
          <w:rFonts w:asciiTheme="minorHAnsi" w:hAnsiTheme="minorHAnsi"/>
          <w:sz w:val="22"/>
          <w:szCs w:val="22"/>
        </w:rPr>
        <w:t xml:space="preserve">Převedení práv a závazků ze Smlouvy na třetí osoby včetně jejich zastavení úplně nebo částečně, je možné jen s písemným souhlasem </w:t>
      </w:r>
      <w:r w:rsidR="000F5F93" w:rsidRPr="0060046F">
        <w:rPr>
          <w:rFonts w:asciiTheme="minorHAnsi" w:hAnsiTheme="minorHAnsi"/>
          <w:sz w:val="22"/>
          <w:szCs w:val="22"/>
        </w:rPr>
        <w:t>druhé smluvní strany</w:t>
      </w:r>
      <w:r w:rsidRPr="0060046F">
        <w:rPr>
          <w:rFonts w:asciiTheme="minorHAnsi" w:hAnsiTheme="minorHAnsi"/>
          <w:sz w:val="22"/>
          <w:szCs w:val="22"/>
        </w:rPr>
        <w:t xml:space="preserve">. </w:t>
      </w:r>
    </w:p>
    <w:p w:rsidR="00D932A0" w:rsidRPr="0060046F" w:rsidRDefault="00D932A0" w:rsidP="007A69AA">
      <w:pPr>
        <w:pStyle w:val="Zkladntext"/>
        <w:numPr>
          <w:ilvl w:val="0"/>
          <w:numId w:val="8"/>
        </w:numPr>
        <w:autoSpaceDE w:val="0"/>
        <w:autoSpaceDN w:val="0"/>
        <w:spacing w:after="60" w:line="276" w:lineRule="auto"/>
        <w:ind w:left="357" w:hanging="357"/>
        <w:jc w:val="left"/>
        <w:rPr>
          <w:rFonts w:asciiTheme="minorHAnsi" w:hAnsiTheme="minorHAnsi"/>
          <w:szCs w:val="22"/>
        </w:rPr>
      </w:pPr>
      <w:r w:rsidRPr="0060046F">
        <w:rPr>
          <w:rFonts w:asciiTheme="minorHAnsi" w:hAnsiTheme="minorHAnsi"/>
          <w:szCs w:val="22"/>
        </w:rPr>
        <w:t>Smluvní strany prohlašují, že se podrobně seznámily s obsahem této Smlouvy, jejímu obsahu porozuměly a nejsou si vědomy žádných překážek, nároků třetích osob ani jiných právních vad, které by jejímu uzavření bránily či způsobovaly její neplatnost. Na důkaz toho připojují k tomu oprávnění zástupci smluvních stran své podpisy.</w:t>
      </w:r>
    </w:p>
    <w:p w:rsidR="0015169C" w:rsidRPr="000B6B1D" w:rsidRDefault="0015169C" w:rsidP="0060046F">
      <w:pPr>
        <w:pStyle w:val="Zkladntext"/>
        <w:tabs>
          <w:tab w:val="left" w:pos="851"/>
        </w:tabs>
        <w:spacing w:line="276" w:lineRule="auto"/>
        <w:rPr>
          <w:rFonts w:asciiTheme="minorHAnsi" w:hAnsiTheme="minorHAnsi"/>
          <w:b/>
          <w:szCs w:val="22"/>
        </w:rPr>
      </w:pPr>
      <w:r w:rsidRPr="000B6B1D">
        <w:rPr>
          <w:rFonts w:asciiTheme="minorHAnsi" w:hAnsiTheme="minorHAnsi"/>
          <w:b/>
          <w:szCs w:val="22"/>
        </w:rPr>
        <w:t>Seznam příloh:</w:t>
      </w:r>
    </w:p>
    <w:p w:rsidR="0015169C" w:rsidRDefault="0015169C" w:rsidP="0060046F">
      <w:pPr>
        <w:pStyle w:val="Zkladntext"/>
        <w:tabs>
          <w:tab w:val="left" w:pos="851"/>
        </w:tabs>
        <w:spacing w:line="276" w:lineRule="auto"/>
        <w:rPr>
          <w:rFonts w:asciiTheme="minorHAnsi" w:hAnsiTheme="minorHAnsi"/>
          <w:szCs w:val="22"/>
        </w:rPr>
      </w:pPr>
      <w:r>
        <w:rPr>
          <w:rFonts w:asciiTheme="minorHAnsi" w:hAnsiTheme="minorHAnsi"/>
          <w:szCs w:val="22"/>
        </w:rPr>
        <w:t>Příloha č. 1</w:t>
      </w:r>
      <w:r>
        <w:rPr>
          <w:rFonts w:asciiTheme="minorHAnsi" w:hAnsiTheme="minorHAnsi"/>
          <w:szCs w:val="22"/>
        </w:rPr>
        <w:tab/>
      </w:r>
      <w:proofErr w:type="spellStart"/>
      <w:r>
        <w:rPr>
          <w:rFonts w:asciiTheme="minorHAnsi" w:hAnsiTheme="minorHAnsi"/>
          <w:szCs w:val="22"/>
        </w:rPr>
        <w:t>Težební</w:t>
      </w:r>
      <w:proofErr w:type="spellEnd"/>
      <w:r>
        <w:rPr>
          <w:rFonts w:asciiTheme="minorHAnsi" w:hAnsiTheme="minorHAnsi"/>
          <w:szCs w:val="22"/>
        </w:rPr>
        <w:t xml:space="preserve"> a </w:t>
      </w:r>
      <w:proofErr w:type="spellStart"/>
      <w:r>
        <w:rPr>
          <w:rFonts w:asciiTheme="minorHAnsi" w:hAnsiTheme="minorHAnsi"/>
          <w:szCs w:val="22"/>
        </w:rPr>
        <w:t>vtláčecí</w:t>
      </w:r>
      <w:proofErr w:type="spellEnd"/>
      <w:r>
        <w:rPr>
          <w:rFonts w:asciiTheme="minorHAnsi" w:hAnsiTheme="minorHAnsi"/>
          <w:szCs w:val="22"/>
        </w:rPr>
        <w:t xml:space="preserve"> křivka</w:t>
      </w:r>
    </w:p>
    <w:p w:rsidR="0015169C" w:rsidRDefault="0015169C" w:rsidP="0060046F">
      <w:pPr>
        <w:pStyle w:val="Zkladntext"/>
        <w:tabs>
          <w:tab w:val="left" w:pos="851"/>
        </w:tabs>
        <w:spacing w:line="276" w:lineRule="auto"/>
        <w:rPr>
          <w:rFonts w:asciiTheme="minorHAnsi" w:hAnsiTheme="minorHAnsi"/>
          <w:szCs w:val="22"/>
        </w:rPr>
      </w:pPr>
    </w:p>
    <w:p w:rsidR="0015169C" w:rsidRPr="0060046F" w:rsidRDefault="0015169C" w:rsidP="0060046F">
      <w:pPr>
        <w:pStyle w:val="Zkladntext"/>
        <w:tabs>
          <w:tab w:val="left" w:pos="851"/>
        </w:tabs>
        <w:spacing w:line="276" w:lineRule="auto"/>
        <w:rPr>
          <w:rFonts w:asciiTheme="minorHAnsi" w:hAnsiTheme="minorHAnsi"/>
          <w:szCs w:val="22"/>
        </w:rPr>
      </w:pPr>
    </w:p>
    <w:p w:rsidR="00D932A0" w:rsidRPr="0060046F" w:rsidRDefault="00D932A0" w:rsidP="0060046F">
      <w:pPr>
        <w:pStyle w:val="Zkladntext"/>
        <w:tabs>
          <w:tab w:val="left" w:pos="851"/>
          <w:tab w:val="left" w:pos="5103"/>
        </w:tabs>
        <w:spacing w:line="276" w:lineRule="auto"/>
        <w:rPr>
          <w:rFonts w:asciiTheme="minorHAnsi" w:hAnsiTheme="minorHAnsi"/>
          <w:szCs w:val="22"/>
        </w:rPr>
      </w:pPr>
      <w:r w:rsidRPr="0060046F">
        <w:rPr>
          <w:rFonts w:asciiTheme="minorHAnsi" w:hAnsiTheme="minorHAnsi"/>
          <w:szCs w:val="22"/>
        </w:rPr>
        <w:t>V ………………</w:t>
      </w:r>
      <w:r w:rsidR="006E5F0B" w:rsidRPr="0060046F">
        <w:rPr>
          <w:rFonts w:asciiTheme="minorHAnsi" w:hAnsiTheme="minorHAnsi"/>
          <w:szCs w:val="22"/>
        </w:rPr>
        <w:t>…</w:t>
      </w:r>
      <w:proofErr w:type="gramStart"/>
      <w:r w:rsidR="006E5F0B" w:rsidRPr="0060046F">
        <w:rPr>
          <w:rFonts w:asciiTheme="minorHAnsi" w:hAnsiTheme="minorHAnsi"/>
          <w:szCs w:val="22"/>
        </w:rPr>
        <w:t>…..</w:t>
      </w:r>
      <w:r w:rsidRPr="0060046F">
        <w:rPr>
          <w:rFonts w:asciiTheme="minorHAnsi" w:hAnsiTheme="minorHAnsi"/>
          <w:szCs w:val="22"/>
        </w:rPr>
        <w:t xml:space="preserve"> </w:t>
      </w:r>
      <w:r w:rsidR="006E5F0B" w:rsidRPr="0060046F">
        <w:rPr>
          <w:rFonts w:asciiTheme="minorHAnsi" w:hAnsiTheme="minorHAnsi"/>
          <w:szCs w:val="22"/>
        </w:rPr>
        <w:t>d</w:t>
      </w:r>
      <w:r w:rsidRPr="0060046F">
        <w:rPr>
          <w:rFonts w:asciiTheme="minorHAnsi" w:hAnsiTheme="minorHAnsi"/>
          <w:szCs w:val="22"/>
        </w:rPr>
        <w:t>ne</w:t>
      </w:r>
      <w:proofErr w:type="gramEnd"/>
      <w:r w:rsidRPr="0060046F">
        <w:rPr>
          <w:rFonts w:asciiTheme="minorHAnsi" w:hAnsiTheme="minorHAnsi"/>
          <w:szCs w:val="22"/>
        </w:rPr>
        <w:t xml:space="preserve"> </w:t>
      </w:r>
      <w:r w:rsidR="006E5F0B" w:rsidRPr="0060046F">
        <w:rPr>
          <w:rFonts w:asciiTheme="minorHAnsi" w:hAnsiTheme="minorHAnsi"/>
          <w:szCs w:val="22"/>
        </w:rPr>
        <w:t>……………………..</w:t>
      </w:r>
      <w:r w:rsidR="00986533" w:rsidRPr="0060046F">
        <w:rPr>
          <w:rFonts w:asciiTheme="minorHAnsi" w:hAnsiTheme="minorHAnsi"/>
          <w:szCs w:val="22"/>
        </w:rPr>
        <w:tab/>
      </w:r>
      <w:r w:rsidRPr="0060046F">
        <w:rPr>
          <w:rFonts w:asciiTheme="minorHAnsi" w:hAnsiTheme="minorHAnsi"/>
          <w:szCs w:val="22"/>
        </w:rPr>
        <w:t xml:space="preserve">V </w:t>
      </w:r>
      <w:r w:rsidR="006E5F0B" w:rsidRPr="0060046F">
        <w:rPr>
          <w:rFonts w:asciiTheme="minorHAnsi" w:hAnsiTheme="minorHAnsi"/>
          <w:szCs w:val="22"/>
        </w:rPr>
        <w:t>…………………….. d</w:t>
      </w:r>
      <w:r w:rsidRPr="0060046F">
        <w:rPr>
          <w:rFonts w:asciiTheme="minorHAnsi" w:hAnsiTheme="minorHAnsi"/>
          <w:szCs w:val="22"/>
        </w:rPr>
        <w:t xml:space="preserve">ne </w:t>
      </w:r>
      <w:r w:rsidR="006E5F0B" w:rsidRPr="0060046F">
        <w:rPr>
          <w:rFonts w:asciiTheme="minorHAnsi" w:hAnsiTheme="minorHAnsi"/>
          <w:szCs w:val="22"/>
        </w:rPr>
        <w:t>……………………..</w:t>
      </w:r>
    </w:p>
    <w:p w:rsidR="00D932A0" w:rsidRPr="0060046F" w:rsidRDefault="00D932A0" w:rsidP="0060046F">
      <w:pPr>
        <w:pStyle w:val="Zkladntext"/>
        <w:tabs>
          <w:tab w:val="left" w:pos="284"/>
        </w:tabs>
        <w:autoSpaceDE w:val="0"/>
        <w:autoSpaceDN w:val="0"/>
        <w:spacing w:line="276" w:lineRule="auto"/>
        <w:ind w:left="360"/>
        <w:rPr>
          <w:rFonts w:asciiTheme="minorHAnsi" w:hAnsiTheme="minorHAnsi"/>
          <w:szCs w:val="22"/>
        </w:rPr>
      </w:pPr>
    </w:p>
    <w:p w:rsidR="00D932A0" w:rsidRPr="0060046F" w:rsidRDefault="00D932A0" w:rsidP="0060046F">
      <w:pPr>
        <w:pStyle w:val="Zkladntext"/>
        <w:tabs>
          <w:tab w:val="left" w:pos="284"/>
          <w:tab w:val="left" w:pos="5103"/>
        </w:tabs>
        <w:autoSpaceDE w:val="0"/>
        <w:autoSpaceDN w:val="0"/>
        <w:spacing w:line="276" w:lineRule="auto"/>
        <w:rPr>
          <w:rFonts w:asciiTheme="minorHAnsi" w:hAnsiTheme="minorHAnsi"/>
          <w:szCs w:val="22"/>
        </w:rPr>
      </w:pPr>
      <w:r w:rsidRPr="0060046F">
        <w:rPr>
          <w:rFonts w:asciiTheme="minorHAnsi" w:hAnsiTheme="minorHAnsi"/>
          <w:b/>
          <w:szCs w:val="22"/>
        </w:rPr>
        <w:t>Za skladovatele</w:t>
      </w:r>
      <w:r w:rsidRPr="0060046F">
        <w:rPr>
          <w:rFonts w:asciiTheme="minorHAnsi" w:hAnsiTheme="minorHAnsi"/>
          <w:szCs w:val="22"/>
        </w:rPr>
        <w:t xml:space="preserve">:                                                     </w:t>
      </w:r>
      <w:r w:rsidR="00986533" w:rsidRPr="0060046F">
        <w:rPr>
          <w:rFonts w:asciiTheme="minorHAnsi" w:hAnsiTheme="minorHAnsi"/>
          <w:szCs w:val="22"/>
        </w:rPr>
        <w:tab/>
      </w:r>
      <w:r w:rsidRPr="0060046F">
        <w:rPr>
          <w:rFonts w:asciiTheme="minorHAnsi" w:hAnsiTheme="minorHAnsi"/>
          <w:b/>
          <w:szCs w:val="22"/>
        </w:rPr>
        <w:t>Za ukladatele</w:t>
      </w:r>
      <w:r w:rsidRPr="0060046F">
        <w:rPr>
          <w:rFonts w:asciiTheme="minorHAnsi" w:hAnsiTheme="minorHAnsi"/>
          <w:szCs w:val="22"/>
        </w:rPr>
        <w:t xml:space="preserve">:        </w:t>
      </w:r>
    </w:p>
    <w:p w:rsidR="00B74E8B" w:rsidRDefault="00B74E8B">
      <w:pPr>
        <w:widowControl/>
        <w:overflowPunct/>
        <w:autoSpaceDE/>
        <w:autoSpaceDN/>
        <w:adjustRightInd/>
        <w:jc w:val="left"/>
        <w:textAlignment w:val="auto"/>
        <w:rPr>
          <w:rFonts w:asciiTheme="minorHAnsi" w:hAnsiTheme="minorHAnsi"/>
          <w:b/>
          <w:color w:val="627D0E"/>
          <w:sz w:val="22"/>
          <w:szCs w:val="22"/>
        </w:rPr>
      </w:pPr>
    </w:p>
    <w:p w:rsidR="00B74E8B" w:rsidRDefault="00B74E8B">
      <w:pPr>
        <w:widowControl/>
        <w:overflowPunct/>
        <w:autoSpaceDE/>
        <w:autoSpaceDN/>
        <w:adjustRightInd/>
        <w:jc w:val="left"/>
        <w:textAlignment w:val="auto"/>
        <w:rPr>
          <w:rFonts w:asciiTheme="minorHAnsi" w:hAnsiTheme="minorHAnsi"/>
          <w:b/>
          <w:color w:val="627D0E"/>
          <w:sz w:val="22"/>
          <w:szCs w:val="22"/>
        </w:rPr>
      </w:pPr>
    </w:p>
    <w:p w:rsidR="00B74E8B" w:rsidRDefault="00B74E8B">
      <w:pPr>
        <w:widowControl/>
        <w:overflowPunct/>
        <w:autoSpaceDE/>
        <w:autoSpaceDN/>
        <w:adjustRightInd/>
        <w:jc w:val="left"/>
        <w:textAlignment w:val="auto"/>
        <w:rPr>
          <w:rFonts w:asciiTheme="minorHAnsi" w:hAnsiTheme="minorHAnsi"/>
          <w:b/>
          <w:color w:val="627D0E"/>
          <w:sz w:val="22"/>
          <w:szCs w:val="22"/>
        </w:rPr>
      </w:pPr>
    </w:p>
    <w:p w:rsidR="0015169C" w:rsidRDefault="0015169C">
      <w:pPr>
        <w:widowControl/>
        <w:overflowPunct/>
        <w:autoSpaceDE/>
        <w:autoSpaceDN/>
        <w:adjustRightInd/>
        <w:jc w:val="left"/>
        <w:textAlignment w:val="auto"/>
        <w:rPr>
          <w:rFonts w:asciiTheme="minorHAnsi" w:hAnsiTheme="minorHAnsi"/>
          <w:b/>
          <w:color w:val="627D0E"/>
          <w:sz w:val="22"/>
          <w:szCs w:val="22"/>
        </w:rPr>
      </w:pPr>
      <w:r>
        <w:rPr>
          <w:rFonts w:asciiTheme="minorHAnsi" w:hAnsiTheme="minorHAnsi"/>
          <w:b/>
          <w:color w:val="627D0E"/>
          <w:sz w:val="22"/>
          <w:szCs w:val="22"/>
        </w:rPr>
        <w:br w:type="page"/>
      </w:r>
    </w:p>
    <w:p w:rsidR="00B74E8B" w:rsidRDefault="00B74E8B">
      <w:pPr>
        <w:widowControl/>
        <w:overflowPunct/>
        <w:autoSpaceDE/>
        <w:autoSpaceDN/>
        <w:adjustRightInd/>
        <w:jc w:val="left"/>
        <w:textAlignment w:val="auto"/>
        <w:rPr>
          <w:rFonts w:asciiTheme="minorHAnsi" w:hAnsiTheme="minorHAnsi"/>
          <w:b/>
          <w:color w:val="627D0E"/>
          <w:sz w:val="22"/>
          <w:szCs w:val="22"/>
        </w:rPr>
      </w:pPr>
      <w:r>
        <w:rPr>
          <w:rFonts w:asciiTheme="minorHAnsi" w:hAnsiTheme="minorHAnsi"/>
          <w:b/>
          <w:color w:val="627D0E"/>
          <w:sz w:val="22"/>
          <w:szCs w:val="22"/>
        </w:rPr>
        <w:lastRenderedPageBreak/>
        <w:t>Příloha č. 1</w:t>
      </w:r>
    </w:p>
    <w:p w:rsidR="00B74E8B" w:rsidRDefault="00B74E8B">
      <w:pPr>
        <w:widowControl/>
        <w:overflowPunct/>
        <w:autoSpaceDE/>
        <w:autoSpaceDN/>
        <w:adjustRightInd/>
        <w:jc w:val="left"/>
        <w:textAlignment w:val="auto"/>
        <w:rPr>
          <w:rFonts w:asciiTheme="minorHAnsi" w:hAnsiTheme="minorHAnsi"/>
          <w:b/>
          <w:color w:val="627D0E"/>
          <w:sz w:val="22"/>
          <w:szCs w:val="22"/>
        </w:rPr>
      </w:pPr>
    </w:p>
    <w:p w:rsidR="00986533" w:rsidRDefault="00B74E8B" w:rsidP="0060046F">
      <w:pPr>
        <w:widowControl/>
        <w:overflowPunct/>
        <w:autoSpaceDE/>
        <w:autoSpaceDN/>
        <w:adjustRightInd/>
        <w:spacing w:line="276" w:lineRule="auto"/>
        <w:jc w:val="left"/>
        <w:textAlignment w:val="auto"/>
        <w:rPr>
          <w:rFonts w:asciiTheme="minorHAnsi" w:hAnsiTheme="minorHAnsi"/>
          <w:b/>
          <w:color w:val="627D0E"/>
          <w:sz w:val="22"/>
          <w:szCs w:val="22"/>
        </w:rPr>
      </w:pPr>
      <w:r>
        <w:rPr>
          <w:noProof/>
        </w:rPr>
        <w:drawing>
          <wp:inline distT="0" distB="0" distL="0" distR="0" wp14:anchorId="4635EBE9" wp14:editId="3D812B08">
            <wp:extent cx="5576157" cy="3685649"/>
            <wp:effectExtent l="0" t="0" r="24765" b="1016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74E8B" w:rsidRDefault="00B74E8B" w:rsidP="0060046F">
      <w:pPr>
        <w:widowControl/>
        <w:overflowPunct/>
        <w:autoSpaceDE/>
        <w:autoSpaceDN/>
        <w:adjustRightInd/>
        <w:spacing w:line="276" w:lineRule="auto"/>
        <w:jc w:val="left"/>
        <w:textAlignment w:val="auto"/>
        <w:rPr>
          <w:rFonts w:asciiTheme="minorHAnsi" w:hAnsiTheme="minorHAnsi"/>
          <w:b/>
          <w:color w:val="627D0E"/>
          <w:sz w:val="22"/>
          <w:szCs w:val="22"/>
        </w:rPr>
      </w:pPr>
    </w:p>
    <w:p w:rsidR="00B74E8B" w:rsidRPr="0060046F" w:rsidRDefault="00B74E8B" w:rsidP="0060046F">
      <w:pPr>
        <w:widowControl/>
        <w:overflowPunct/>
        <w:autoSpaceDE/>
        <w:autoSpaceDN/>
        <w:adjustRightInd/>
        <w:spacing w:line="276" w:lineRule="auto"/>
        <w:jc w:val="left"/>
        <w:textAlignment w:val="auto"/>
        <w:rPr>
          <w:rFonts w:asciiTheme="minorHAnsi" w:hAnsiTheme="minorHAnsi"/>
          <w:b/>
          <w:color w:val="627D0E"/>
          <w:sz w:val="22"/>
          <w:szCs w:val="22"/>
        </w:rPr>
      </w:pPr>
      <w:r>
        <w:rPr>
          <w:noProof/>
        </w:rPr>
        <w:drawing>
          <wp:inline distT="0" distB="0" distL="0" distR="0" wp14:anchorId="054E1CA2" wp14:editId="5378DCCE">
            <wp:extent cx="5575935" cy="3298190"/>
            <wp:effectExtent l="0" t="0" r="5715" b="16510"/>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0" w:name="_GoBack"/>
      <w:bookmarkEnd w:id="0"/>
    </w:p>
    <w:sectPr w:rsidR="00B74E8B" w:rsidRPr="0060046F" w:rsidSect="00751280">
      <w:headerReference w:type="default" r:id="rId10"/>
      <w:footerReference w:type="default" r:id="rId11"/>
      <w:pgSz w:w="11906" w:h="16838" w:code="9"/>
      <w:pgMar w:top="1440" w:right="1077" w:bottom="1440" w:left="1077"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ED2" w:rsidRDefault="007B4ED2">
      <w:r>
        <w:separator/>
      </w:r>
    </w:p>
  </w:endnote>
  <w:endnote w:type="continuationSeparator" w:id="0">
    <w:p w:rsidR="007B4ED2" w:rsidRDefault="007B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60D" w:rsidRDefault="008D3515">
    <w:pPr>
      <w:pStyle w:val="Zpat"/>
    </w:pPr>
    <w:r>
      <w:rPr>
        <w:noProof/>
      </w:rPr>
      <w:drawing>
        <wp:inline distT="0" distB="0" distL="0" distR="0" wp14:anchorId="24CF31A4" wp14:editId="3BB015B4">
          <wp:extent cx="6253316" cy="321758"/>
          <wp:effectExtent l="0" t="0" r="0" b="2540"/>
          <wp:docPr id="7" name="Obrázek 7" descr="pásek-www-mnd-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ásek-www-mnd-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6520" cy="321923"/>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ED2" w:rsidRDefault="007B4ED2">
      <w:r>
        <w:separator/>
      </w:r>
    </w:p>
  </w:footnote>
  <w:footnote w:type="continuationSeparator" w:id="0">
    <w:p w:rsidR="007B4ED2" w:rsidRDefault="007B4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60D" w:rsidRPr="00871689" w:rsidRDefault="00DC060D" w:rsidP="004234F2">
    <w:pPr>
      <w:pStyle w:val="Zhlav"/>
      <w:jc w:val="right"/>
      <w:rPr>
        <w:sz w:val="16"/>
        <w:szCs w:val="16"/>
      </w:rPr>
    </w:pPr>
  </w:p>
  <w:p w:rsidR="00DC060D" w:rsidRDefault="008D3515">
    <w:pPr>
      <w:pStyle w:val="Zhlav"/>
    </w:pPr>
    <w:r>
      <w:rPr>
        <w:noProof/>
      </w:rPr>
      <w:drawing>
        <wp:inline distT="0" distB="0" distL="0" distR="0" wp14:anchorId="076BF05A" wp14:editId="52F06C89">
          <wp:extent cx="6164826" cy="430653"/>
          <wp:effectExtent l="0" t="0" r="7620" b="7620"/>
          <wp:docPr id="6" name="Obrázek 6" descr="MND_GAS_jen 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ND_GAS_jen fir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3986" cy="432690"/>
                  </a:xfrm>
                  <a:prstGeom prst="rect">
                    <a:avLst/>
                  </a:prstGeom>
                  <a:noFill/>
                  <a:ln>
                    <a:noFill/>
                  </a:ln>
                </pic:spPr>
              </pic:pic>
            </a:graphicData>
          </a:graphic>
        </wp:inline>
      </w:drawing>
    </w:r>
  </w:p>
  <w:p w:rsidR="008D3515" w:rsidRDefault="008D351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76E52"/>
    <w:multiLevelType w:val="hybridMultilevel"/>
    <w:tmpl w:val="1942539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1823293B"/>
    <w:multiLevelType w:val="hybridMultilevel"/>
    <w:tmpl w:val="F16A273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F386473"/>
    <w:multiLevelType w:val="hybridMultilevel"/>
    <w:tmpl w:val="A3486850"/>
    <w:lvl w:ilvl="0" w:tplc="2CF4EC1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9CE079C"/>
    <w:multiLevelType w:val="hybridMultilevel"/>
    <w:tmpl w:val="68B09D86"/>
    <w:lvl w:ilvl="0" w:tplc="9DD8DB3A">
      <w:start w:val="1"/>
      <w:numFmt w:val="decimal"/>
      <w:lvlText w:val="%1."/>
      <w:lvlJc w:val="left"/>
      <w:pPr>
        <w:tabs>
          <w:tab w:val="num" w:pos="360"/>
        </w:tabs>
        <w:ind w:left="360" w:hanging="360"/>
      </w:pPr>
      <w:rPr>
        <w:rFonts w:hint="default"/>
        <w:b w:val="0"/>
        <w:bCs w:val="0"/>
        <w:i w:val="0"/>
        <w:iCs w:val="0"/>
        <w:sz w:val="24"/>
        <w:szCs w:val="24"/>
        <w:u w:val="no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2B12015E"/>
    <w:multiLevelType w:val="multilevel"/>
    <w:tmpl w:val="CEBC9ABE"/>
    <w:lvl w:ilvl="0">
      <w:start w:val="1"/>
      <w:numFmt w:val="decimal"/>
      <w:lvlText w:val="%1."/>
      <w:lvlJc w:val="left"/>
      <w:pPr>
        <w:tabs>
          <w:tab w:val="num" w:pos="360"/>
        </w:tabs>
        <w:ind w:left="360" w:hanging="360"/>
      </w:pPr>
      <w:rPr>
        <w:rFonts w:hint="default"/>
        <w:b/>
        <w:bCs w:val="0"/>
        <w:i w:val="0"/>
        <w:iCs w:val="0"/>
        <w:sz w:val="24"/>
        <w:szCs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7E31450"/>
    <w:multiLevelType w:val="hybridMultilevel"/>
    <w:tmpl w:val="2C54DFBE"/>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9">
      <w:start w:val="1"/>
      <w:numFmt w:val="lowerLetter"/>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49162642"/>
    <w:multiLevelType w:val="hybridMultilevel"/>
    <w:tmpl w:val="6BEA8FE0"/>
    <w:lvl w:ilvl="0" w:tplc="9C10B342">
      <w:start w:val="1"/>
      <w:numFmt w:val="lowerLetter"/>
      <w:lvlText w:val="%1)"/>
      <w:lvlJc w:val="left"/>
      <w:pPr>
        <w:ind w:left="360" w:hanging="360"/>
      </w:pPr>
      <w:rPr>
        <w:rFonts w:hint="default"/>
      </w:rPr>
    </w:lvl>
    <w:lvl w:ilvl="1" w:tplc="04050019">
      <w:start w:val="1"/>
      <w:numFmt w:val="lowerLetter"/>
      <w:lvlText w:val="%2."/>
      <w:lvlJc w:val="left"/>
      <w:pPr>
        <w:ind w:left="1515" w:hanging="360"/>
      </w:pPr>
    </w:lvl>
    <w:lvl w:ilvl="2" w:tplc="0405001B">
      <w:start w:val="1"/>
      <w:numFmt w:val="lowerRoman"/>
      <w:lvlText w:val="%3."/>
      <w:lvlJc w:val="right"/>
      <w:pPr>
        <w:ind w:left="2235" w:hanging="180"/>
      </w:pPr>
    </w:lvl>
    <w:lvl w:ilvl="3" w:tplc="0405000F">
      <w:start w:val="1"/>
      <w:numFmt w:val="decimal"/>
      <w:lvlText w:val="%4."/>
      <w:lvlJc w:val="left"/>
      <w:pPr>
        <w:ind w:left="2955" w:hanging="360"/>
      </w:pPr>
    </w:lvl>
    <w:lvl w:ilvl="4" w:tplc="04050019">
      <w:start w:val="1"/>
      <w:numFmt w:val="lowerLetter"/>
      <w:lvlText w:val="%5."/>
      <w:lvlJc w:val="left"/>
      <w:pPr>
        <w:ind w:left="3675" w:hanging="360"/>
      </w:pPr>
    </w:lvl>
    <w:lvl w:ilvl="5" w:tplc="0405001B">
      <w:start w:val="1"/>
      <w:numFmt w:val="lowerRoman"/>
      <w:lvlText w:val="%6."/>
      <w:lvlJc w:val="right"/>
      <w:pPr>
        <w:ind w:left="4395" w:hanging="180"/>
      </w:pPr>
    </w:lvl>
    <w:lvl w:ilvl="6" w:tplc="0405000F">
      <w:start w:val="1"/>
      <w:numFmt w:val="decimal"/>
      <w:lvlText w:val="%7."/>
      <w:lvlJc w:val="left"/>
      <w:pPr>
        <w:ind w:left="5115" w:hanging="360"/>
      </w:pPr>
    </w:lvl>
    <w:lvl w:ilvl="7" w:tplc="04050019">
      <w:start w:val="1"/>
      <w:numFmt w:val="lowerLetter"/>
      <w:lvlText w:val="%8."/>
      <w:lvlJc w:val="left"/>
      <w:pPr>
        <w:ind w:left="5835" w:hanging="360"/>
      </w:pPr>
    </w:lvl>
    <w:lvl w:ilvl="8" w:tplc="0405001B">
      <w:start w:val="1"/>
      <w:numFmt w:val="lowerRoman"/>
      <w:lvlText w:val="%9."/>
      <w:lvlJc w:val="right"/>
      <w:pPr>
        <w:ind w:left="6555" w:hanging="180"/>
      </w:pPr>
    </w:lvl>
  </w:abstractNum>
  <w:abstractNum w:abstractNumId="7" w15:restartNumberingAfterBreak="0">
    <w:nsid w:val="4D7830E0"/>
    <w:multiLevelType w:val="multilevel"/>
    <w:tmpl w:val="7F766902"/>
    <w:lvl w:ilvl="0">
      <w:start w:val="1"/>
      <w:numFmt w:val="decimal"/>
      <w:lvlText w:val="%1"/>
      <w:lvlJc w:val="left"/>
      <w:pPr>
        <w:ind w:left="1416" w:hanging="1416"/>
      </w:pPr>
      <w:rPr>
        <w:rFonts w:hint="default"/>
      </w:rPr>
    </w:lvl>
    <w:lvl w:ilvl="1">
      <w:start w:val="1"/>
      <w:numFmt w:val="decimal"/>
      <w:lvlText w:val="%1.%2"/>
      <w:lvlJc w:val="left"/>
      <w:pPr>
        <w:ind w:left="1842" w:hanging="1416"/>
      </w:pPr>
      <w:rPr>
        <w:rFonts w:hint="default"/>
        <w:b w:val="0"/>
      </w:rPr>
    </w:lvl>
    <w:lvl w:ilvl="2">
      <w:start w:val="1"/>
      <w:numFmt w:val="decimal"/>
      <w:lvlText w:val="%1.%2.%3"/>
      <w:lvlJc w:val="left"/>
      <w:pPr>
        <w:ind w:left="1984" w:hanging="1416"/>
      </w:pPr>
      <w:rPr>
        <w:rFonts w:hint="default"/>
        <w:b/>
      </w:rPr>
    </w:lvl>
    <w:lvl w:ilvl="3">
      <w:start w:val="1"/>
      <w:numFmt w:val="decimal"/>
      <w:lvlText w:val="%1.%2.%3.%4"/>
      <w:lvlJc w:val="left"/>
      <w:pPr>
        <w:ind w:left="2694" w:hanging="1416"/>
      </w:pPr>
      <w:rPr>
        <w:rFonts w:hint="default"/>
      </w:rPr>
    </w:lvl>
    <w:lvl w:ilvl="4">
      <w:start w:val="1"/>
      <w:numFmt w:val="decimal"/>
      <w:lvlText w:val="%1.%2.%3.%4.%5"/>
      <w:lvlJc w:val="left"/>
      <w:pPr>
        <w:ind w:left="3120" w:hanging="1416"/>
      </w:pPr>
      <w:rPr>
        <w:rFonts w:hint="default"/>
      </w:rPr>
    </w:lvl>
    <w:lvl w:ilvl="5">
      <w:start w:val="1"/>
      <w:numFmt w:val="decimal"/>
      <w:lvlText w:val="%1.%2.%3.%4.%5.%6"/>
      <w:lvlJc w:val="left"/>
      <w:pPr>
        <w:ind w:left="3546" w:hanging="1416"/>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50E34F72"/>
    <w:multiLevelType w:val="hybridMultilevel"/>
    <w:tmpl w:val="FE943B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863E92"/>
    <w:multiLevelType w:val="hybridMultilevel"/>
    <w:tmpl w:val="D9DA35EE"/>
    <w:lvl w:ilvl="0" w:tplc="CD0AB74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52B400D9"/>
    <w:multiLevelType w:val="hybridMultilevel"/>
    <w:tmpl w:val="AAFAD13A"/>
    <w:lvl w:ilvl="0" w:tplc="0405000F">
      <w:start w:val="1"/>
      <w:numFmt w:val="decimal"/>
      <w:lvlText w:val="%1."/>
      <w:lvlJc w:val="left"/>
      <w:pPr>
        <w:tabs>
          <w:tab w:val="num" w:pos="720"/>
        </w:tabs>
        <w:ind w:left="720" w:hanging="360"/>
      </w:pPr>
    </w:lvl>
    <w:lvl w:ilvl="1" w:tplc="041B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5FDC47D4"/>
    <w:multiLevelType w:val="hybridMultilevel"/>
    <w:tmpl w:val="8CA4D644"/>
    <w:lvl w:ilvl="0" w:tplc="0405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0875776"/>
    <w:multiLevelType w:val="hybridMultilevel"/>
    <w:tmpl w:val="960EF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AA04CCF"/>
    <w:multiLevelType w:val="hybridMultilevel"/>
    <w:tmpl w:val="76588A4A"/>
    <w:lvl w:ilvl="0" w:tplc="DCBCD668">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D73B92"/>
    <w:multiLevelType w:val="hybridMultilevel"/>
    <w:tmpl w:val="5CB89288"/>
    <w:lvl w:ilvl="0" w:tplc="7CBE192E">
      <w:start w:val="5"/>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71C5735B"/>
    <w:multiLevelType w:val="hybridMultilevel"/>
    <w:tmpl w:val="199AA1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A73A53"/>
    <w:multiLevelType w:val="hybridMultilevel"/>
    <w:tmpl w:val="AC0CEE8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2FA4306"/>
    <w:multiLevelType w:val="hybridMultilevel"/>
    <w:tmpl w:val="7150A24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779860A7"/>
    <w:multiLevelType w:val="hybridMultilevel"/>
    <w:tmpl w:val="B066ACB4"/>
    <w:lvl w:ilvl="0" w:tplc="FFFFFFFF">
      <w:start w:val="1"/>
      <w:numFmt w:val="lowerLetter"/>
      <w:lvlText w:val="%1)"/>
      <w:lvlJc w:val="left"/>
      <w:pPr>
        <w:tabs>
          <w:tab w:val="num" w:pos="283"/>
        </w:tabs>
        <w:ind w:left="566" w:hanging="283"/>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799D4338"/>
    <w:multiLevelType w:val="hybridMultilevel"/>
    <w:tmpl w:val="E58CAED6"/>
    <w:lvl w:ilvl="0" w:tplc="93A6CD3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BE0FA7"/>
    <w:multiLevelType w:val="hybridMultilevel"/>
    <w:tmpl w:val="4B42A656"/>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E03118C"/>
    <w:multiLevelType w:val="hybridMultilevel"/>
    <w:tmpl w:val="4244B80A"/>
    <w:lvl w:ilvl="0" w:tplc="2424F1AE">
      <w:start w:val="1"/>
      <w:numFmt w:val="bullet"/>
      <w:lvlText w:val="-"/>
      <w:lvlJc w:val="left"/>
      <w:pPr>
        <w:ind w:left="1843" w:hanging="360"/>
      </w:pPr>
      <w:rPr>
        <w:rFonts w:ascii="Calibri" w:eastAsia="Calibri" w:hAnsi="Calibri" w:cs="Calibri" w:hint="default"/>
      </w:rPr>
    </w:lvl>
    <w:lvl w:ilvl="1" w:tplc="041B0003" w:tentative="1">
      <w:start w:val="1"/>
      <w:numFmt w:val="bullet"/>
      <w:lvlText w:val="o"/>
      <w:lvlJc w:val="left"/>
      <w:pPr>
        <w:ind w:left="2563" w:hanging="360"/>
      </w:pPr>
      <w:rPr>
        <w:rFonts w:ascii="Courier New" w:hAnsi="Courier New" w:cs="Courier New" w:hint="default"/>
      </w:rPr>
    </w:lvl>
    <w:lvl w:ilvl="2" w:tplc="041B0005" w:tentative="1">
      <w:start w:val="1"/>
      <w:numFmt w:val="bullet"/>
      <w:lvlText w:val=""/>
      <w:lvlJc w:val="left"/>
      <w:pPr>
        <w:ind w:left="3283" w:hanging="360"/>
      </w:pPr>
      <w:rPr>
        <w:rFonts w:ascii="Wingdings" w:hAnsi="Wingdings" w:hint="default"/>
      </w:rPr>
    </w:lvl>
    <w:lvl w:ilvl="3" w:tplc="041B0001" w:tentative="1">
      <w:start w:val="1"/>
      <w:numFmt w:val="bullet"/>
      <w:lvlText w:val=""/>
      <w:lvlJc w:val="left"/>
      <w:pPr>
        <w:ind w:left="4003" w:hanging="360"/>
      </w:pPr>
      <w:rPr>
        <w:rFonts w:ascii="Symbol" w:hAnsi="Symbol" w:hint="default"/>
      </w:rPr>
    </w:lvl>
    <w:lvl w:ilvl="4" w:tplc="041B0003" w:tentative="1">
      <w:start w:val="1"/>
      <w:numFmt w:val="bullet"/>
      <w:lvlText w:val="o"/>
      <w:lvlJc w:val="left"/>
      <w:pPr>
        <w:ind w:left="4723" w:hanging="360"/>
      </w:pPr>
      <w:rPr>
        <w:rFonts w:ascii="Courier New" w:hAnsi="Courier New" w:cs="Courier New" w:hint="default"/>
      </w:rPr>
    </w:lvl>
    <w:lvl w:ilvl="5" w:tplc="041B0005" w:tentative="1">
      <w:start w:val="1"/>
      <w:numFmt w:val="bullet"/>
      <w:lvlText w:val=""/>
      <w:lvlJc w:val="left"/>
      <w:pPr>
        <w:ind w:left="5443" w:hanging="360"/>
      </w:pPr>
      <w:rPr>
        <w:rFonts w:ascii="Wingdings" w:hAnsi="Wingdings" w:hint="default"/>
      </w:rPr>
    </w:lvl>
    <w:lvl w:ilvl="6" w:tplc="041B0001" w:tentative="1">
      <w:start w:val="1"/>
      <w:numFmt w:val="bullet"/>
      <w:lvlText w:val=""/>
      <w:lvlJc w:val="left"/>
      <w:pPr>
        <w:ind w:left="6163" w:hanging="360"/>
      </w:pPr>
      <w:rPr>
        <w:rFonts w:ascii="Symbol" w:hAnsi="Symbol" w:hint="default"/>
      </w:rPr>
    </w:lvl>
    <w:lvl w:ilvl="7" w:tplc="041B0003" w:tentative="1">
      <w:start w:val="1"/>
      <w:numFmt w:val="bullet"/>
      <w:lvlText w:val="o"/>
      <w:lvlJc w:val="left"/>
      <w:pPr>
        <w:ind w:left="6883" w:hanging="360"/>
      </w:pPr>
      <w:rPr>
        <w:rFonts w:ascii="Courier New" w:hAnsi="Courier New" w:cs="Courier New" w:hint="default"/>
      </w:rPr>
    </w:lvl>
    <w:lvl w:ilvl="8" w:tplc="041B0005" w:tentative="1">
      <w:start w:val="1"/>
      <w:numFmt w:val="bullet"/>
      <w:lvlText w:val=""/>
      <w:lvlJc w:val="left"/>
      <w:pPr>
        <w:ind w:left="7603" w:hanging="360"/>
      </w:pPr>
      <w:rPr>
        <w:rFonts w:ascii="Wingdings" w:hAnsi="Wingdings" w:hint="default"/>
      </w:rPr>
    </w:lvl>
  </w:abstractNum>
  <w:num w:numId="1">
    <w:abstractNumId w:val="15"/>
  </w:num>
  <w:num w:numId="2">
    <w:abstractNumId w:val="19"/>
  </w:num>
  <w:num w:numId="3">
    <w:abstractNumId w:val="8"/>
  </w:num>
  <w:num w:numId="4">
    <w:abstractNumId w:val="1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3"/>
  </w:num>
  <w:num w:numId="9">
    <w:abstractNumId w:val="2"/>
  </w:num>
  <w:num w:numId="10">
    <w:abstractNumId w:val="6"/>
  </w:num>
  <w:num w:numId="11">
    <w:abstractNumId w:val="5"/>
  </w:num>
  <w:num w:numId="12">
    <w:abstractNumId w:val="12"/>
  </w:num>
  <w:num w:numId="13">
    <w:abstractNumId w:val="4"/>
  </w:num>
  <w:num w:numId="14">
    <w:abstractNumId w:val="1"/>
  </w:num>
  <w:num w:numId="15">
    <w:abstractNumId w:val="7"/>
  </w:num>
  <w:num w:numId="16">
    <w:abstractNumId w:val="17"/>
  </w:num>
  <w:num w:numId="17">
    <w:abstractNumId w:val="13"/>
  </w:num>
  <w:num w:numId="18">
    <w:abstractNumId w:val="9"/>
  </w:num>
  <w:num w:numId="19">
    <w:abstractNumId w:val="11"/>
  </w:num>
  <w:num w:numId="20">
    <w:abstractNumId w:val="10"/>
  </w:num>
  <w:num w:numId="21">
    <w:abstractNumId w:val="20"/>
  </w:num>
  <w:num w:numId="22">
    <w:abstractNumId w:val="2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689"/>
    <w:rsid w:val="00001DA5"/>
    <w:rsid w:val="00004E50"/>
    <w:rsid w:val="000113DA"/>
    <w:rsid w:val="00016CDF"/>
    <w:rsid w:val="00026E69"/>
    <w:rsid w:val="0003516C"/>
    <w:rsid w:val="00035B9B"/>
    <w:rsid w:val="00036097"/>
    <w:rsid w:val="000423AC"/>
    <w:rsid w:val="00054D47"/>
    <w:rsid w:val="0006039D"/>
    <w:rsid w:val="00060FCE"/>
    <w:rsid w:val="0006376E"/>
    <w:rsid w:val="00070477"/>
    <w:rsid w:val="00082778"/>
    <w:rsid w:val="00082F79"/>
    <w:rsid w:val="000872EF"/>
    <w:rsid w:val="000A0418"/>
    <w:rsid w:val="000A33DE"/>
    <w:rsid w:val="000B6B1D"/>
    <w:rsid w:val="000E14CC"/>
    <w:rsid w:val="000E4188"/>
    <w:rsid w:val="000E53E3"/>
    <w:rsid w:val="000E6E78"/>
    <w:rsid w:val="000F3D25"/>
    <w:rsid w:val="000F5610"/>
    <w:rsid w:val="000F5F93"/>
    <w:rsid w:val="000F6CEA"/>
    <w:rsid w:val="00101CA0"/>
    <w:rsid w:val="00106538"/>
    <w:rsid w:val="0011242E"/>
    <w:rsid w:val="00120617"/>
    <w:rsid w:val="00122E86"/>
    <w:rsid w:val="00125341"/>
    <w:rsid w:val="00130255"/>
    <w:rsid w:val="00133FF8"/>
    <w:rsid w:val="00134F6A"/>
    <w:rsid w:val="00141A8B"/>
    <w:rsid w:val="00143A51"/>
    <w:rsid w:val="00146C6A"/>
    <w:rsid w:val="0015169C"/>
    <w:rsid w:val="00152685"/>
    <w:rsid w:val="0016397E"/>
    <w:rsid w:val="0016799F"/>
    <w:rsid w:val="0017144D"/>
    <w:rsid w:val="00172D98"/>
    <w:rsid w:val="00180962"/>
    <w:rsid w:val="00186FA7"/>
    <w:rsid w:val="00187A38"/>
    <w:rsid w:val="00193B3E"/>
    <w:rsid w:val="00196A14"/>
    <w:rsid w:val="001A1022"/>
    <w:rsid w:val="001A510A"/>
    <w:rsid w:val="001B412A"/>
    <w:rsid w:val="001B7690"/>
    <w:rsid w:val="001B79F3"/>
    <w:rsid w:val="001C467E"/>
    <w:rsid w:val="001D2831"/>
    <w:rsid w:val="001E0F19"/>
    <w:rsid w:val="001F3554"/>
    <w:rsid w:val="001F4B82"/>
    <w:rsid w:val="001F4F23"/>
    <w:rsid w:val="00201CFC"/>
    <w:rsid w:val="00210A71"/>
    <w:rsid w:val="00211B34"/>
    <w:rsid w:val="00214768"/>
    <w:rsid w:val="00222845"/>
    <w:rsid w:val="002369FD"/>
    <w:rsid w:val="00242BB0"/>
    <w:rsid w:val="00250703"/>
    <w:rsid w:val="00251065"/>
    <w:rsid w:val="00253725"/>
    <w:rsid w:val="00263C38"/>
    <w:rsid w:val="00272C7F"/>
    <w:rsid w:val="00280E94"/>
    <w:rsid w:val="002830DD"/>
    <w:rsid w:val="002839B9"/>
    <w:rsid w:val="002846F2"/>
    <w:rsid w:val="002854F7"/>
    <w:rsid w:val="00286D5D"/>
    <w:rsid w:val="00294E54"/>
    <w:rsid w:val="00297FA2"/>
    <w:rsid w:val="002B15AE"/>
    <w:rsid w:val="002B2A5E"/>
    <w:rsid w:val="002C0151"/>
    <w:rsid w:val="002E51B2"/>
    <w:rsid w:val="003005DA"/>
    <w:rsid w:val="00302BDE"/>
    <w:rsid w:val="00314F50"/>
    <w:rsid w:val="00344459"/>
    <w:rsid w:val="00344C08"/>
    <w:rsid w:val="00347D4D"/>
    <w:rsid w:val="00356126"/>
    <w:rsid w:val="0036475E"/>
    <w:rsid w:val="003656FC"/>
    <w:rsid w:val="0037140F"/>
    <w:rsid w:val="00371B38"/>
    <w:rsid w:val="0037554D"/>
    <w:rsid w:val="003817E2"/>
    <w:rsid w:val="00381FEA"/>
    <w:rsid w:val="00384D0A"/>
    <w:rsid w:val="003876F7"/>
    <w:rsid w:val="00393E6D"/>
    <w:rsid w:val="003A0920"/>
    <w:rsid w:val="003A2B0F"/>
    <w:rsid w:val="003A32C2"/>
    <w:rsid w:val="003B2AF2"/>
    <w:rsid w:val="003B5B2A"/>
    <w:rsid w:val="003D3BB2"/>
    <w:rsid w:val="003D3FBE"/>
    <w:rsid w:val="003E0FDE"/>
    <w:rsid w:val="003E1F8C"/>
    <w:rsid w:val="003E4B52"/>
    <w:rsid w:val="003F1E1D"/>
    <w:rsid w:val="004074C8"/>
    <w:rsid w:val="00412C24"/>
    <w:rsid w:val="004152A8"/>
    <w:rsid w:val="0041552F"/>
    <w:rsid w:val="00420291"/>
    <w:rsid w:val="004210DF"/>
    <w:rsid w:val="00422FDA"/>
    <w:rsid w:val="004234F2"/>
    <w:rsid w:val="00427C92"/>
    <w:rsid w:val="004334C2"/>
    <w:rsid w:val="0044066D"/>
    <w:rsid w:val="00440C0D"/>
    <w:rsid w:val="00441D98"/>
    <w:rsid w:val="00442EE5"/>
    <w:rsid w:val="00446FC5"/>
    <w:rsid w:val="00450654"/>
    <w:rsid w:val="004512C9"/>
    <w:rsid w:val="0045191C"/>
    <w:rsid w:val="00452BC1"/>
    <w:rsid w:val="0045322F"/>
    <w:rsid w:val="00457CAE"/>
    <w:rsid w:val="00462D5B"/>
    <w:rsid w:val="00481653"/>
    <w:rsid w:val="00491F3A"/>
    <w:rsid w:val="004923AC"/>
    <w:rsid w:val="00494C1D"/>
    <w:rsid w:val="00497748"/>
    <w:rsid w:val="004A3B0D"/>
    <w:rsid w:val="004A5BCD"/>
    <w:rsid w:val="004B4530"/>
    <w:rsid w:val="004B65FF"/>
    <w:rsid w:val="004C0E19"/>
    <w:rsid w:val="004D2FFA"/>
    <w:rsid w:val="004D6685"/>
    <w:rsid w:val="004E1575"/>
    <w:rsid w:val="004E66F6"/>
    <w:rsid w:val="004E6D62"/>
    <w:rsid w:val="0050142B"/>
    <w:rsid w:val="00520886"/>
    <w:rsid w:val="00521766"/>
    <w:rsid w:val="00521899"/>
    <w:rsid w:val="0052229D"/>
    <w:rsid w:val="00535E54"/>
    <w:rsid w:val="00535F56"/>
    <w:rsid w:val="005503AA"/>
    <w:rsid w:val="00551516"/>
    <w:rsid w:val="005538DD"/>
    <w:rsid w:val="00554461"/>
    <w:rsid w:val="00554ACA"/>
    <w:rsid w:val="00554EBC"/>
    <w:rsid w:val="00557BAB"/>
    <w:rsid w:val="005737C3"/>
    <w:rsid w:val="00574CD2"/>
    <w:rsid w:val="00594B3A"/>
    <w:rsid w:val="00597CAA"/>
    <w:rsid w:val="005A2278"/>
    <w:rsid w:val="005C2A42"/>
    <w:rsid w:val="005C4076"/>
    <w:rsid w:val="005C74D3"/>
    <w:rsid w:val="005D0B81"/>
    <w:rsid w:val="005E1B5F"/>
    <w:rsid w:val="005E79D9"/>
    <w:rsid w:val="005F0CE3"/>
    <w:rsid w:val="005F1437"/>
    <w:rsid w:val="005F1A2E"/>
    <w:rsid w:val="005F340A"/>
    <w:rsid w:val="005F49F0"/>
    <w:rsid w:val="005F57E6"/>
    <w:rsid w:val="0060046F"/>
    <w:rsid w:val="00603D27"/>
    <w:rsid w:val="00611626"/>
    <w:rsid w:val="00613340"/>
    <w:rsid w:val="006133F7"/>
    <w:rsid w:val="00613764"/>
    <w:rsid w:val="006154E1"/>
    <w:rsid w:val="00620C48"/>
    <w:rsid w:val="0062124A"/>
    <w:rsid w:val="006219B7"/>
    <w:rsid w:val="00624B70"/>
    <w:rsid w:val="0062637B"/>
    <w:rsid w:val="00634C5A"/>
    <w:rsid w:val="00636BFE"/>
    <w:rsid w:val="0063787B"/>
    <w:rsid w:val="00637D73"/>
    <w:rsid w:val="00637D86"/>
    <w:rsid w:val="00642293"/>
    <w:rsid w:val="00644FEC"/>
    <w:rsid w:val="00645F1B"/>
    <w:rsid w:val="00653F5F"/>
    <w:rsid w:val="00671877"/>
    <w:rsid w:val="00672AC1"/>
    <w:rsid w:val="00676E62"/>
    <w:rsid w:val="00682580"/>
    <w:rsid w:val="00682EF7"/>
    <w:rsid w:val="006846F3"/>
    <w:rsid w:val="006847B9"/>
    <w:rsid w:val="00684B78"/>
    <w:rsid w:val="0069097F"/>
    <w:rsid w:val="00691938"/>
    <w:rsid w:val="006A4287"/>
    <w:rsid w:val="006B2FB9"/>
    <w:rsid w:val="006B7322"/>
    <w:rsid w:val="006D15D2"/>
    <w:rsid w:val="006D2D7E"/>
    <w:rsid w:val="006E252C"/>
    <w:rsid w:val="006E378D"/>
    <w:rsid w:val="006E3D31"/>
    <w:rsid w:val="006E5F0B"/>
    <w:rsid w:val="006F009B"/>
    <w:rsid w:val="006F0862"/>
    <w:rsid w:val="006F5410"/>
    <w:rsid w:val="006F74D9"/>
    <w:rsid w:val="007046BD"/>
    <w:rsid w:val="00714157"/>
    <w:rsid w:val="0071554C"/>
    <w:rsid w:val="00715674"/>
    <w:rsid w:val="00722705"/>
    <w:rsid w:val="00722E74"/>
    <w:rsid w:val="00725585"/>
    <w:rsid w:val="00730BA0"/>
    <w:rsid w:val="00735FC9"/>
    <w:rsid w:val="00751280"/>
    <w:rsid w:val="00755BAA"/>
    <w:rsid w:val="007562AE"/>
    <w:rsid w:val="00756826"/>
    <w:rsid w:val="00757941"/>
    <w:rsid w:val="007649CD"/>
    <w:rsid w:val="007872CD"/>
    <w:rsid w:val="00795AA3"/>
    <w:rsid w:val="007A04AC"/>
    <w:rsid w:val="007A69AA"/>
    <w:rsid w:val="007B03E1"/>
    <w:rsid w:val="007B1356"/>
    <w:rsid w:val="007B2ADE"/>
    <w:rsid w:val="007B4ED2"/>
    <w:rsid w:val="007B7836"/>
    <w:rsid w:val="007D4075"/>
    <w:rsid w:val="007E1200"/>
    <w:rsid w:val="007E2737"/>
    <w:rsid w:val="007F6A8C"/>
    <w:rsid w:val="008070A3"/>
    <w:rsid w:val="008120F4"/>
    <w:rsid w:val="00820D88"/>
    <w:rsid w:val="008213AE"/>
    <w:rsid w:val="00823735"/>
    <w:rsid w:val="00823E00"/>
    <w:rsid w:val="00825260"/>
    <w:rsid w:val="00834B51"/>
    <w:rsid w:val="00834C59"/>
    <w:rsid w:val="0086185B"/>
    <w:rsid w:val="00871689"/>
    <w:rsid w:val="00871763"/>
    <w:rsid w:val="00875A84"/>
    <w:rsid w:val="0087784E"/>
    <w:rsid w:val="008855D4"/>
    <w:rsid w:val="00895A4C"/>
    <w:rsid w:val="008A0BC9"/>
    <w:rsid w:val="008A51AF"/>
    <w:rsid w:val="008A6BD0"/>
    <w:rsid w:val="008A6F67"/>
    <w:rsid w:val="008B27C3"/>
    <w:rsid w:val="008B2A09"/>
    <w:rsid w:val="008C0FC2"/>
    <w:rsid w:val="008C2FEC"/>
    <w:rsid w:val="008C5AA2"/>
    <w:rsid w:val="008C7530"/>
    <w:rsid w:val="008D3515"/>
    <w:rsid w:val="008D3EF3"/>
    <w:rsid w:val="008D5A35"/>
    <w:rsid w:val="008E59D5"/>
    <w:rsid w:val="008E63A3"/>
    <w:rsid w:val="008F5DF1"/>
    <w:rsid w:val="00905F71"/>
    <w:rsid w:val="00911004"/>
    <w:rsid w:val="0091636E"/>
    <w:rsid w:val="00922CC0"/>
    <w:rsid w:val="00926EE4"/>
    <w:rsid w:val="00927C17"/>
    <w:rsid w:val="00932CD3"/>
    <w:rsid w:val="00934C91"/>
    <w:rsid w:val="0093658B"/>
    <w:rsid w:val="00946A29"/>
    <w:rsid w:val="00956DAD"/>
    <w:rsid w:val="0095755F"/>
    <w:rsid w:val="00960E1C"/>
    <w:rsid w:val="00975541"/>
    <w:rsid w:val="0097712E"/>
    <w:rsid w:val="00986533"/>
    <w:rsid w:val="00991EE2"/>
    <w:rsid w:val="00993CD2"/>
    <w:rsid w:val="009A0520"/>
    <w:rsid w:val="009B7866"/>
    <w:rsid w:val="009C08F6"/>
    <w:rsid w:val="009C0A65"/>
    <w:rsid w:val="009C5EB4"/>
    <w:rsid w:val="009E5328"/>
    <w:rsid w:val="009E5D87"/>
    <w:rsid w:val="009E7E21"/>
    <w:rsid w:val="00A0058D"/>
    <w:rsid w:val="00A03FA1"/>
    <w:rsid w:val="00A17E21"/>
    <w:rsid w:val="00A314E5"/>
    <w:rsid w:val="00A32337"/>
    <w:rsid w:val="00A33E92"/>
    <w:rsid w:val="00A452BE"/>
    <w:rsid w:val="00A56A80"/>
    <w:rsid w:val="00A6154A"/>
    <w:rsid w:val="00A64023"/>
    <w:rsid w:val="00A67930"/>
    <w:rsid w:val="00A862DB"/>
    <w:rsid w:val="00A878AC"/>
    <w:rsid w:val="00AA2B42"/>
    <w:rsid w:val="00AA369B"/>
    <w:rsid w:val="00AA4A67"/>
    <w:rsid w:val="00AB3AD7"/>
    <w:rsid w:val="00AB56CF"/>
    <w:rsid w:val="00B00520"/>
    <w:rsid w:val="00B10B5D"/>
    <w:rsid w:val="00B10BE6"/>
    <w:rsid w:val="00B11870"/>
    <w:rsid w:val="00B1299F"/>
    <w:rsid w:val="00B148EC"/>
    <w:rsid w:val="00B36144"/>
    <w:rsid w:val="00B416A2"/>
    <w:rsid w:val="00B44BA1"/>
    <w:rsid w:val="00B55D7F"/>
    <w:rsid w:val="00B6073A"/>
    <w:rsid w:val="00B647BF"/>
    <w:rsid w:val="00B65303"/>
    <w:rsid w:val="00B70912"/>
    <w:rsid w:val="00B74E8B"/>
    <w:rsid w:val="00B81D87"/>
    <w:rsid w:val="00B84088"/>
    <w:rsid w:val="00B8519F"/>
    <w:rsid w:val="00B96273"/>
    <w:rsid w:val="00BC3069"/>
    <w:rsid w:val="00BC3562"/>
    <w:rsid w:val="00BD0B55"/>
    <w:rsid w:val="00BD17EA"/>
    <w:rsid w:val="00BD6D4F"/>
    <w:rsid w:val="00BE57E0"/>
    <w:rsid w:val="00BF6945"/>
    <w:rsid w:val="00C05266"/>
    <w:rsid w:val="00C07107"/>
    <w:rsid w:val="00C10EA4"/>
    <w:rsid w:val="00C21495"/>
    <w:rsid w:val="00C2196D"/>
    <w:rsid w:val="00C233D0"/>
    <w:rsid w:val="00C2485A"/>
    <w:rsid w:val="00C2557B"/>
    <w:rsid w:val="00C4404F"/>
    <w:rsid w:val="00C45F17"/>
    <w:rsid w:val="00C5329E"/>
    <w:rsid w:val="00C56806"/>
    <w:rsid w:val="00C57D74"/>
    <w:rsid w:val="00C63987"/>
    <w:rsid w:val="00C64E3A"/>
    <w:rsid w:val="00C72926"/>
    <w:rsid w:val="00C74A0A"/>
    <w:rsid w:val="00C81CF6"/>
    <w:rsid w:val="00C82999"/>
    <w:rsid w:val="00C92276"/>
    <w:rsid w:val="00C9677E"/>
    <w:rsid w:val="00CA100B"/>
    <w:rsid w:val="00CB2621"/>
    <w:rsid w:val="00CB38E3"/>
    <w:rsid w:val="00CC4318"/>
    <w:rsid w:val="00CC58B0"/>
    <w:rsid w:val="00CC78DA"/>
    <w:rsid w:val="00CD1A16"/>
    <w:rsid w:val="00CD4F6A"/>
    <w:rsid w:val="00CD5EFB"/>
    <w:rsid w:val="00CD72B4"/>
    <w:rsid w:val="00CE00AE"/>
    <w:rsid w:val="00CE1AE3"/>
    <w:rsid w:val="00CE2849"/>
    <w:rsid w:val="00CE2B8D"/>
    <w:rsid w:val="00D03374"/>
    <w:rsid w:val="00D06F76"/>
    <w:rsid w:val="00D11D5A"/>
    <w:rsid w:val="00D17EB6"/>
    <w:rsid w:val="00D32B89"/>
    <w:rsid w:val="00D33E92"/>
    <w:rsid w:val="00D42562"/>
    <w:rsid w:val="00D50373"/>
    <w:rsid w:val="00D50B61"/>
    <w:rsid w:val="00D540F6"/>
    <w:rsid w:val="00D54B3E"/>
    <w:rsid w:val="00D54B83"/>
    <w:rsid w:val="00D80A49"/>
    <w:rsid w:val="00D81AE1"/>
    <w:rsid w:val="00D83D4C"/>
    <w:rsid w:val="00D856E9"/>
    <w:rsid w:val="00D90FA4"/>
    <w:rsid w:val="00D932A0"/>
    <w:rsid w:val="00D95B3D"/>
    <w:rsid w:val="00DA25AF"/>
    <w:rsid w:val="00DA2938"/>
    <w:rsid w:val="00DA5B43"/>
    <w:rsid w:val="00DA7EFD"/>
    <w:rsid w:val="00DB090B"/>
    <w:rsid w:val="00DB1817"/>
    <w:rsid w:val="00DB7E11"/>
    <w:rsid w:val="00DC060D"/>
    <w:rsid w:val="00DC076A"/>
    <w:rsid w:val="00DC1BF9"/>
    <w:rsid w:val="00DE53A8"/>
    <w:rsid w:val="00DF1653"/>
    <w:rsid w:val="00E011F6"/>
    <w:rsid w:val="00E07132"/>
    <w:rsid w:val="00E11491"/>
    <w:rsid w:val="00E13273"/>
    <w:rsid w:val="00E36A8F"/>
    <w:rsid w:val="00E41E01"/>
    <w:rsid w:val="00E449B9"/>
    <w:rsid w:val="00E45F2A"/>
    <w:rsid w:val="00E5745E"/>
    <w:rsid w:val="00E61810"/>
    <w:rsid w:val="00E62224"/>
    <w:rsid w:val="00E64988"/>
    <w:rsid w:val="00E670F0"/>
    <w:rsid w:val="00E722F5"/>
    <w:rsid w:val="00E82A8B"/>
    <w:rsid w:val="00E83C87"/>
    <w:rsid w:val="00E8558B"/>
    <w:rsid w:val="00E905A3"/>
    <w:rsid w:val="00E93FCC"/>
    <w:rsid w:val="00E950A5"/>
    <w:rsid w:val="00EA3A3B"/>
    <w:rsid w:val="00EB133D"/>
    <w:rsid w:val="00EB444D"/>
    <w:rsid w:val="00EB6F32"/>
    <w:rsid w:val="00EC2C5A"/>
    <w:rsid w:val="00ED2397"/>
    <w:rsid w:val="00ED5E99"/>
    <w:rsid w:val="00EE2A0C"/>
    <w:rsid w:val="00EF00DC"/>
    <w:rsid w:val="00EF753B"/>
    <w:rsid w:val="00F008B1"/>
    <w:rsid w:val="00F00FDC"/>
    <w:rsid w:val="00F02D84"/>
    <w:rsid w:val="00F21AB7"/>
    <w:rsid w:val="00F22A13"/>
    <w:rsid w:val="00F237CA"/>
    <w:rsid w:val="00F27DCB"/>
    <w:rsid w:val="00F37411"/>
    <w:rsid w:val="00F37761"/>
    <w:rsid w:val="00F45AF5"/>
    <w:rsid w:val="00F54D7C"/>
    <w:rsid w:val="00F5648E"/>
    <w:rsid w:val="00F56AA9"/>
    <w:rsid w:val="00F614EB"/>
    <w:rsid w:val="00F61631"/>
    <w:rsid w:val="00F71491"/>
    <w:rsid w:val="00F826C1"/>
    <w:rsid w:val="00F8587E"/>
    <w:rsid w:val="00F86233"/>
    <w:rsid w:val="00FA2AA7"/>
    <w:rsid w:val="00FA5609"/>
    <w:rsid w:val="00FB3ED3"/>
    <w:rsid w:val="00FB4010"/>
    <w:rsid w:val="00FC30CA"/>
    <w:rsid w:val="00FD53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C59F1A-A34D-483A-9637-0901D640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1689"/>
    <w:pPr>
      <w:widowControl w:val="0"/>
      <w:overflowPunct w:val="0"/>
      <w:autoSpaceDE w:val="0"/>
      <w:autoSpaceDN w:val="0"/>
      <w:adjustRightInd w:val="0"/>
      <w:jc w:val="both"/>
      <w:textAlignment w:val="baseline"/>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871689"/>
    <w:pPr>
      <w:tabs>
        <w:tab w:val="center" w:pos="4536"/>
        <w:tab w:val="right" w:pos="9072"/>
      </w:tabs>
    </w:pPr>
  </w:style>
  <w:style w:type="paragraph" w:styleId="Zpat">
    <w:name w:val="footer"/>
    <w:basedOn w:val="Normln"/>
    <w:rsid w:val="00871689"/>
    <w:pPr>
      <w:tabs>
        <w:tab w:val="center" w:pos="4536"/>
        <w:tab w:val="right" w:pos="9072"/>
      </w:tabs>
    </w:pPr>
  </w:style>
  <w:style w:type="character" w:customStyle="1" w:styleId="ZhlavChar">
    <w:name w:val="Záhlaví Char"/>
    <w:basedOn w:val="Standardnpsmoodstavce"/>
    <w:link w:val="Zhlav"/>
    <w:rsid w:val="00871689"/>
    <w:rPr>
      <w:sz w:val="24"/>
      <w:lang w:val="cs-CZ" w:eastAsia="cs-CZ" w:bidi="ar-SA"/>
    </w:rPr>
  </w:style>
  <w:style w:type="paragraph" w:styleId="Zkladntext2">
    <w:name w:val="Body Text 2"/>
    <w:basedOn w:val="Normln"/>
    <w:rsid w:val="00DB7E11"/>
    <w:pPr>
      <w:spacing w:after="120" w:line="480" w:lineRule="auto"/>
    </w:pPr>
  </w:style>
  <w:style w:type="table" w:styleId="Mkatabulky">
    <w:name w:val="Table Grid"/>
    <w:basedOn w:val="Normlntabulka"/>
    <w:rsid w:val="004234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semiHidden/>
    <w:rsid w:val="007B1356"/>
    <w:rPr>
      <w:rFonts w:ascii="Tahoma" w:hAnsi="Tahoma" w:cs="Tahoma"/>
      <w:sz w:val="16"/>
      <w:szCs w:val="16"/>
    </w:rPr>
  </w:style>
  <w:style w:type="paragraph" w:styleId="Textpoznpodarou">
    <w:name w:val="footnote text"/>
    <w:basedOn w:val="Normln"/>
    <w:link w:val="TextpoznpodarouChar"/>
    <w:uiPriority w:val="99"/>
    <w:unhideWhenUsed/>
    <w:rsid w:val="005C74D3"/>
    <w:pPr>
      <w:widowControl/>
      <w:overflowPunct/>
      <w:autoSpaceDE/>
      <w:autoSpaceDN/>
      <w:adjustRightInd/>
      <w:jc w:val="left"/>
      <w:textAlignment w:val="auto"/>
    </w:pPr>
    <w:rPr>
      <w:sz w:val="20"/>
    </w:rPr>
  </w:style>
  <w:style w:type="character" w:customStyle="1" w:styleId="TextpoznpodarouChar">
    <w:name w:val="Text pozn. pod čarou Char"/>
    <w:basedOn w:val="Standardnpsmoodstavce"/>
    <w:link w:val="Textpoznpodarou"/>
    <w:uiPriority w:val="99"/>
    <w:rsid w:val="005C74D3"/>
  </w:style>
  <w:style w:type="character" w:styleId="Znakapoznpodarou">
    <w:name w:val="footnote reference"/>
    <w:basedOn w:val="Standardnpsmoodstavce"/>
    <w:uiPriority w:val="99"/>
    <w:unhideWhenUsed/>
    <w:rsid w:val="005C74D3"/>
    <w:rPr>
      <w:vertAlign w:val="superscript"/>
    </w:rPr>
  </w:style>
  <w:style w:type="paragraph" w:styleId="Odstavecseseznamem">
    <w:name w:val="List Paragraph"/>
    <w:basedOn w:val="Normln"/>
    <w:uiPriority w:val="34"/>
    <w:qFormat/>
    <w:rsid w:val="00D06F76"/>
    <w:pPr>
      <w:widowControl/>
      <w:overflowPunct/>
      <w:autoSpaceDE/>
      <w:autoSpaceDN/>
      <w:adjustRightInd/>
      <w:spacing w:after="200" w:line="276" w:lineRule="auto"/>
      <w:ind w:left="720"/>
      <w:jc w:val="left"/>
      <w:textAlignment w:val="auto"/>
    </w:pPr>
    <w:rPr>
      <w:rFonts w:ascii="Calibri" w:eastAsia="Calibri" w:hAnsi="Calibri" w:cs="Calibri"/>
      <w:sz w:val="22"/>
      <w:szCs w:val="22"/>
      <w:lang w:eastAsia="en-US"/>
    </w:rPr>
  </w:style>
  <w:style w:type="character" w:styleId="Hypertextovodkaz">
    <w:name w:val="Hyperlink"/>
    <w:basedOn w:val="Standardnpsmoodstavce"/>
    <w:uiPriority w:val="99"/>
    <w:unhideWhenUsed/>
    <w:rsid w:val="00D06F76"/>
    <w:rPr>
      <w:color w:val="0000FF"/>
      <w:u w:val="single"/>
    </w:rPr>
  </w:style>
  <w:style w:type="paragraph" w:styleId="Zkladntextodsazen">
    <w:name w:val="Body Text Indent"/>
    <w:basedOn w:val="Normln"/>
    <w:link w:val="ZkladntextodsazenChar"/>
    <w:uiPriority w:val="99"/>
    <w:unhideWhenUsed/>
    <w:rsid w:val="00D06F76"/>
    <w:pPr>
      <w:widowControl/>
      <w:overflowPunct/>
      <w:autoSpaceDE/>
      <w:autoSpaceDN/>
      <w:adjustRightInd/>
      <w:spacing w:before="120" w:after="120"/>
      <w:ind w:left="283"/>
      <w:textAlignment w:val="auto"/>
    </w:pPr>
    <w:rPr>
      <w:sz w:val="22"/>
      <w:szCs w:val="24"/>
    </w:rPr>
  </w:style>
  <w:style w:type="character" w:customStyle="1" w:styleId="ZkladntextodsazenChar">
    <w:name w:val="Základní text odsazený Char"/>
    <w:basedOn w:val="Standardnpsmoodstavce"/>
    <w:link w:val="Zkladntextodsazen"/>
    <w:uiPriority w:val="99"/>
    <w:rsid w:val="00D06F76"/>
    <w:rPr>
      <w:sz w:val="22"/>
      <w:szCs w:val="24"/>
    </w:rPr>
  </w:style>
  <w:style w:type="paragraph" w:styleId="Zkladntext">
    <w:name w:val="Body Text"/>
    <w:basedOn w:val="Normln"/>
    <w:link w:val="ZkladntextChar"/>
    <w:uiPriority w:val="99"/>
    <w:unhideWhenUsed/>
    <w:rsid w:val="00D06F76"/>
    <w:pPr>
      <w:widowControl/>
      <w:overflowPunct/>
      <w:autoSpaceDE/>
      <w:autoSpaceDN/>
      <w:adjustRightInd/>
      <w:spacing w:before="120" w:after="120"/>
      <w:textAlignment w:val="auto"/>
    </w:pPr>
    <w:rPr>
      <w:sz w:val="22"/>
      <w:szCs w:val="24"/>
    </w:rPr>
  </w:style>
  <w:style w:type="character" w:customStyle="1" w:styleId="ZkladntextChar">
    <w:name w:val="Základní text Char"/>
    <w:basedOn w:val="Standardnpsmoodstavce"/>
    <w:link w:val="Zkladntext"/>
    <w:uiPriority w:val="99"/>
    <w:rsid w:val="00D06F76"/>
    <w:rPr>
      <w:sz w:val="22"/>
      <w:szCs w:val="24"/>
    </w:rPr>
  </w:style>
  <w:style w:type="character" w:styleId="Odkaznakoment">
    <w:name w:val="annotation reference"/>
    <w:basedOn w:val="Standardnpsmoodstavce"/>
    <w:rsid w:val="006E378D"/>
    <w:rPr>
      <w:sz w:val="16"/>
      <w:szCs w:val="16"/>
    </w:rPr>
  </w:style>
  <w:style w:type="paragraph" w:styleId="Textkomente">
    <w:name w:val="annotation text"/>
    <w:basedOn w:val="Normln"/>
    <w:link w:val="TextkomenteChar"/>
    <w:rsid w:val="006E378D"/>
    <w:rPr>
      <w:sz w:val="20"/>
    </w:rPr>
  </w:style>
  <w:style w:type="character" w:customStyle="1" w:styleId="TextkomenteChar">
    <w:name w:val="Text komentáře Char"/>
    <w:basedOn w:val="Standardnpsmoodstavce"/>
    <w:link w:val="Textkomente"/>
    <w:rsid w:val="006E378D"/>
  </w:style>
  <w:style w:type="paragraph" w:styleId="Pedmtkomente">
    <w:name w:val="annotation subject"/>
    <w:basedOn w:val="Textkomente"/>
    <w:next w:val="Textkomente"/>
    <w:link w:val="PedmtkomenteChar"/>
    <w:rsid w:val="006E378D"/>
    <w:rPr>
      <w:b/>
      <w:bCs/>
    </w:rPr>
  </w:style>
  <w:style w:type="character" w:customStyle="1" w:styleId="PedmtkomenteChar">
    <w:name w:val="Předmět komentáře Char"/>
    <w:basedOn w:val="TextkomenteChar"/>
    <w:link w:val="Pedmtkomente"/>
    <w:rsid w:val="006E378D"/>
    <w:rPr>
      <w:b/>
      <w:bCs/>
    </w:rPr>
  </w:style>
  <w:style w:type="paragraph" w:styleId="Revize">
    <w:name w:val="Revision"/>
    <w:hidden/>
    <w:uiPriority w:val="99"/>
    <w:semiHidden/>
    <w:rsid w:val="006E378D"/>
    <w:rPr>
      <w:sz w:val="24"/>
    </w:rPr>
  </w:style>
  <w:style w:type="paragraph" w:customStyle="1" w:styleId="Default">
    <w:name w:val="Default"/>
    <w:rsid w:val="00C74A0A"/>
    <w:pPr>
      <w:autoSpaceDE w:val="0"/>
      <w:autoSpaceDN w:val="0"/>
      <w:adjustRightInd w:val="0"/>
    </w:pPr>
    <w:rPr>
      <w:rFonts w:ascii="Calibri" w:eastAsia="Calibri" w:hAnsi="Calibri" w:cs="Calibri"/>
      <w:color w:val="000000"/>
      <w:sz w:val="24"/>
      <w:szCs w:val="24"/>
      <w:lang w:eastAsia="en-US"/>
    </w:rPr>
  </w:style>
  <w:style w:type="character" w:styleId="Siln">
    <w:name w:val="Strong"/>
    <w:basedOn w:val="Standardnpsmoodstavce"/>
    <w:uiPriority w:val="22"/>
    <w:qFormat/>
    <w:rsid w:val="0062124A"/>
    <w:rPr>
      <w:b/>
      <w:bCs/>
    </w:rPr>
  </w:style>
  <w:style w:type="character" w:styleId="Sledovanodkaz">
    <w:name w:val="FollowedHyperlink"/>
    <w:basedOn w:val="Standardnpsmoodstavce"/>
    <w:rsid w:val="00286D5D"/>
    <w:rPr>
      <w:color w:val="800080" w:themeColor="followedHyperlink"/>
      <w:u w:val="single"/>
    </w:rPr>
  </w:style>
  <w:style w:type="character" w:styleId="Zstupntext">
    <w:name w:val="Placeholder Text"/>
    <w:basedOn w:val="Standardnpsmoodstavce"/>
    <w:uiPriority w:val="99"/>
    <w:semiHidden/>
    <w:rsid w:val="00CD72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98821">
      <w:bodyDiv w:val="1"/>
      <w:marLeft w:val="0"/>
      <w:marRight w:val="0"/>
      <w:marTop w:val="0"/>
      <w:marBottom w:val="0"/>
      <w:divBdr>
        <w:top w:val="none" w:sz="0" w:space="0" w:color="auto"/>
        <w:left w:val="none" w:sz="0" w:space="0" w:color="auto"/>
        <w:bottom w:val="none" w:sz="0" w:space="0" w:color="auto"/>
        <w:right w:val="none" w:sz="0" w:space="0" w:color="auto"/>
      </w:divBdr>
    </w:div>
    <w:div w:id="1455556746">
      <w:bodyDiv w:val="1"/>
      <w:marLeft w:val="0"/>
      <w:marRight w:val="0"/>
      <w:marTop w:val="0"/>
      <w:marBottom w:val="0"/>
      <w:divBdr>
        <w:top w:val="none" w:sz="0" w:space="0" w:color="auto"/>
        <w:left w:val="none" w:sz="0" w:space="0" w:color="auto"/>
        <w:bottom w:val="none" w:sz="0" w:space="0" w:color="auto"/>
        <w:right w:val="none" w:sz="0" w:space="0" w:color="auto"/>
      </w:divBdr>
    </w:div>
    <w:div w:id="1494370771">
      <w:bodyDiv w:val="1"/>
      <w:marLeft w:val="0"/>
      <w:marRight w:val="0"/>
      <w:marTop w:val="0"/>
      <w:marBottom w:val="0"/>
      <w:divBdr>
        <w:top w:val="none" w:sz="0" w:space="0" w:color="auto"/>
        <w:left w:val="none" w:sz="0" w:space="0" w:color="auto"/>
        <w:bottom w:val="none" w:sz="0" w:space="0" w:color="auto"/>
        <w:right w:val="none" w:sz="0" w:space="0" w:color="auto"/>
      </w:divBdr>
    </w:div>
    <w:div w:id="19202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halla\AppData\Local\Microsoft\Windows\Temporary%20Internet%20Files\Content.Outlook\QVJGWGXI\V&#253;konov&#233;%20k&#345;ivky%20PZP%20Uh&#345;ice%20-%20180%20GWh_aukkce%2010%2011%202016.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halla\AppData\Local\Microsoft\Windows\Temporary%20Internet%20Files\Content.Outlook\QVJGWGXI\V&#253;konov&#233;%20k&#345;ivky%20PZP%20Uh&#345;ice%20-%20180%20GWh_aukkce%2010%2011%20201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1" u="none" strike="noStrike" baseline="0">
                <a:solidFill>
                  <a:srgbClr val="000000"/>
                </a:solidFill>
                <a:latin typeface="Arial CE"/>
                <a:ea typeface="Arial CE"/>
                <a:cs typeface="Arial CE"/>
              </a:defRPr>
            </a:pPr>
            <a:r>
              <a:rPr lang="sk-SK" sz="1400" b="1" i="0" u="none" strike="noStrike" baseline="0">
                <a:solidFill>
                  <a:srgbClr val="000000"/>
                </a:solidFill>
                <a:latin typeface="Calibri"/>
              </a:rPr>
              <a:t>Těžební křivka MND Gas Storage a.s. (180 GWh)</a:t>
            </a:r>
          </a:p>
          <a:p>
            <a:pPr>
              <a:defRPr sz="1000" b="0" i="1" u="none" strike="noStrike" baseline="0">
                <a:solidFill>
                  <a:srgbClr val="000000"/>
                </a:solidFill>
                <a:latin typeface="Arial CE"/>
                <a:ea typeface="Arial CE"/>
                <a:cs typeface="Arial CE"/>
              </a:defRPr>
            </a:pPr>
            <a:r>
              <a:rPr lang="sk-SK" sz="1400" b="1" i="0" u="none" strike="noStrike" baseline="0">
                <a:solidFill>
                  <a:srgbClr val="000000"/>
                </a:solidFill>
                <a:latin typeface="Calibri"/>
              </a:rPr>
              <a:t>Dostupný výkon v závislosti na stavu účtu ukladatele</a:t>
            </a:r>
          </a:p>
        </c:rich>
      </c:tx>
      <c:layout>
        <c:manualLayout>
          <c:xMode val="edge"/>
          <c:yMode val="edge"/>
          <c:x val="0.36412914290143594"/>
          <c:y val="3.1768924923988005E-4"/>
        </c:manualLayout>
      </c:layout>
      <c:overlay val="0"/>
      <c:spPr>
        <a:noFill/>
        <a:ln w="25400">
          <a:noFill/>
        </a:ln>
      </c:spPr>
    </c:title>
    <c:autoTitleDeleted val="0"/>
    <c:plotArea>
      <c:layout>
        <c:manualLayout>
          <c:layoutTarget val="inner"/>
          <c:xMode val="edge"/>
          <c:yMode val="edge"/>
          <c:x val="8.9347470819634012E-2"/>
          <c:y val="0.14514159585249864"/>
          <c:w val="0.89264596642400829"/>
          <c:h val="0.7389293579948546"/>
        </c:manualLayout>
      </c:layout>
      <c:scatterChart>
        <c:scatterStyle val="lineMarker"/>
        <c:varyColors val="0"/>
        <c:ser>
          <c:idx val="0"/>
          <c:order val="0"/>
          <c:tx>
            <c:v>Withdrawal Profile</c:v>
          </c:tx>
          <c:spPr>
            <a:ln w="38100">
              <a:solidFill>
                <a:srgbClr val="00B050"/>
              </a:solidFill>
              <a:prstDash val="solid"/>
            </a:ln>
          </c:spPr>
          <c:marker>
            <c:symbol val="circle"/>
            <c:size val="6"/>
            <c:spPr>
              <a:solidFill>
                <a:srgbClr val="FFFFFF"/>
              </a:solidFill>
              <a:ln>
                <a:solidFill>
                  <a:srgbClr val="339966"/>
                </a:solidFill>
                <a:prstDash val="solid"/>
              </a:ln>
            </c:spPr>
          </c:marker>
          <c:xVal>
            <c:numRef>
              <c:f>List2!$B$3:$B$4</c:f>
              <c:numCache>
                <c:formatCode>0.0</c:formatCode>
                <c:ptCount val="2"/>
                <c:pt idx="0">
                  <c:v>100</c:v>
                </c:pt>
                <c:pt idx="1">
                  <c:v>0</c:v>
                </c:pt>
              </c:numCache>
            </c:numRef>
          </c:xVal>
          <c:yVal>
            <c:numRef>
              <c:f>List2!$C$3:$C$4</c:f>
              <c:numCache>
                <c:formatCode>0.00</c:formatCode>
                <c:ptCount val="2"/>
                <c:pt idx="0" formatCode="0.0">
                  <c:v>100</c:v>
                </c:pt>
                <c:pt idx="1">
                  <c:v>100</c:v>
                </c:pt>
              </c:numCache>
            </c:numRef>
          </c:yVal>
          <c:smooth val="0"/>
        </c:ser>
        <c:ser>
          <c:idx val="1"/>
          <c:order val="1"/>
          <c:spPr>
            <a:ln w="28575">
              <a:noFill/>
            </a:ln>
          </c:spPr>
          <c:marker>
            <c:symbol val="none"/>
          </c:marker>
          <c:xVal>
            <c:numRef>
              <c:f>List2!$B$4</c:f>
              <c:numCache>
                <c:formatCode>0.0</c:formatCode>
                <c:ptCount val="1"/>
                <c:pt idx="0">
                  <c:v>0</c:v>
                </c:pt>
              </c:numCache>
            </c:numRef>
          </c:xVal>
          <c:yVal>
            <c:numRef>
              <c:f>List2!$C$4</c:f>
              <c:numCache>
                <c:formatCode>0.00</c:formatCode>
                <c:ptCount val="1"/>
                <c:pt idx="0">
                  <c:v>100</c:v>
                </c:pt>
              </c:numCache>
            </c:numRef>
          </c:yVal>
          <c:smooth val="0"/>
        </c:ser>
        <c:dLbls>
          <c:showLegendKey val="0"/>
          <c:showVal val="0"/>
          <c:showCatName val="0"/>
          <c:showSerName val="0"/>
          <c:showPercent val="0"/>
          <c:showBubbleSize val="0"/>
        </c:dLbls>
        <c:axId val="319888512"/>
        <c:axId val="322039056"/>
      </c:scatterChart>
      <c:valAx>
        <c:axId val="319888512"/>
        <c:scaling>
          <c:orientation val="maxMin"/>
          <c:max val="100"/>
        </c:scaling>
        <c:delete val="0"/>
        <c:axPos val="b"/>
        <c:majorGridlines>
          <c:spPr>
            <a:ln w="3175">
              <a:solidFill>
                <a:srgbClr val="808080"/>
              </a:solidFill>
              <a:prstDash val="sysDash"/>
            </a:ln>
          </c:spPr>
        </c:majorGridlines>
        <c:title>
          <c:tx>
            <c:rich>
              <a:bodyPr/>
              <a:lstStyle/>
              <a:p>
                <a:pPr>
                  <a:defRPr sz="1200" b="1" i="0" u="none" strike="noStrike" baseline="0">
                    <a:solidFill>
                      <a:srgbClr val="000000"/>
                    </a:solidFill>
                    <a:latin typeface="Calibri"/>
                    <a:ea typeface="Calibri"/>
                    <a:cs typeface="Calibri"/>
                  </a:defRPr>
                </a:pPr>
                <a:r>
                  <a:rPr lang="sk-SK"/>
                  <a:t>Stav účtu ukladatele (%)</a:t>
                </a:r>
              </a:p>
            </c:rich>
          </c:tx>
          <c:layout>
            <c:manualLayout>
              <c:xMode val="edge"/>
              <c:yMode val="edge"/>
              <c:x val="0.38266066601356774"/>
              <c:y val="0.92994365111140764"/>
            </c:manualLayout>
          </c:layout>
          <c:overlay val="0"/>
          <c:spPr>
            <a:noFill/>
            <a:ln w="25400">
              <a:noFill/>
            </a:ln>
          </c:spPr>
        </c:title>
        <c:numFmt formatCode="0" sourceLinked="0"/>
        <c:majorTickMark val="out"/>
        <c:minorTickMark val="in"/>
        <c:tickLblPos val="nextTo"/>
        <c:spPr>
          <a:ln w="3175">
            <a:solidFill>
              <a:srgbClr val="000000"/>
            </a:solidFill>
            <a:prstDash val="solid"/>
          </a:ln>
        </c:spPr>
        <c:txPr>
          <a:bodyPr rot="0" vert="horz"/>
          <a:lstStyle/>
          <a:p>
            <a:pPr>
              <a:defRPr sz="1000" b="0" i="0" u="none" strike="noStrike" baseline="0">
                <a:solidFill>
                  <a:srgbClr val="000000"/>
                </a:solidFill>
                <a:latin typeface="Arial CE"/>
                <a:ea typeface="Arial CE"/>
                <a:cs typeface="Arial CE"/>
              </a:defRPr>
            </a:pPr>
            <a:endParaRPr lang="cs-CZ"/>
          </a:p>
        </c:txPr>
        <c:crossAx val="322039056"/>
        <c:crosses val="autoZero"/>
        <c:crossBetween val="midCat"/>
        <c:majorUnit val="10"/>
        <c:minorUnit val="1"/>
      </c:valAx>
      <c:valAx>
        <c:axId val="322039056"/>
        <c:scaling>
          <c:orientation val="minMax"/>
          <c:max val="119"/>
          <c:min val="0"/>
        </c:scaling>
        <c:delete val="0"/>
        <c:axPos val="l"/>
        <c:majorGridlines>
          <c:spPr>
            <a:ln w="3175">
              <a:solidFill>
                <a:srgbClr val="969696"/>
              </a:solidFill>
              <a:prstDash val="sysDash"/>
            </a:ln>
          </c:spPr>
        </c:majorGridlines>
        <c:title>
          <c:tx>
            <c:rich>
              <a:bodyPr/>
              <a:lstStyle/>
              <a:p>
                <a:pPr>
                  <a:defRPr sz="1200" b="1" i="0" u="none" strike="noStrike" baseline="0">
                    <a:solidFill>
                      <a:srgbClr val="000000"/>
                    </a:solidFill>
                    <a:latin typeface="Calibri"/>
                    <a:ea typeface="Calibri"/>
                    <a:cs typeface="Calibri"/>
                  </a:defRPr>
                </a:pPr>
                <a:r>
                  <a:rPr lang="sk-SK"/>
                  <a:t>Maximální odběrový výkon  (%)</a:t>
                </a:r>
              </a:p>
            </c:rich>
          </c:tx>
          <c:layout>
            <c:manualLayout>
              <c:xMode val="edge"/>
              <c:yMode val="edge"/>
              <c:x val="0"/>
              <c:y val="0.30324391654433025"/>
            </c:manualLayout>
          </c:layout>
          <c:overlay val="0"/>
          <c:spPr>
            <a:noFill/>
            <a:ln w="25400">
              <a:noFill/>
            </a:ln>
          </c:spPr>
        </c:title>
        <c:numFmt formatCode="0_ ;[Red]\-0\ " sourceLinked="0"/>
        <c:majorTickMark val="out"/>
        <c:minorTickMark val="in"/>
        <c:tickLblPos val="nextTo"/>
        <c:spPr>
          <a:ln w="3175">
            <a:solidFill>
              <a:srgbClr val="000000"/>
            </a:solidFill>
            <a:prstDash val="solid"/>
          </a:ln>
        </c:spPr>
        <c:txPr>
          <a:bodyPr rot="0" vert="horz"/>
          <a:lstStyle/>
          <a:p>
            <a:pPr>
              <a:defRPr sz="1000" b="0" i="0" u="none" strike="noStrike" baseline="0">
                <a:solidFill>
                  <a:srgbClr val="000000"/>
                </a:solidFill>
                <a:latin typeface="Arial CE"/>
                <a:ea typeface="Arial CE"/>
                <a:cs typeface="Arial CE"/>
              </a:defRPr>
            </a:pPr>
            <a:endParaRPr lang="cs-CZ"/>
          </a:p>
        </c:txPr>
        <c:crossAx val="319888512"/>
        <c:crosses val="max"/>
        <c:crossBetween val="midCat"/>
        <c:majorUnit val="10"/>
      </c:valAx>
      <c:spPr>
        <a:noFill/>
        <a:ln w="3175">
          <a:solidFill>
            <a:srgbClr val="000000"/>
          </a:solidFill>
          <a:prstDash val="solid"/>
        </a:ln>
      </c:spPr>
    </c:plotArea>
    <c:plotVisOnly val="1"/>
    <c:dispBlanksAs val="gap"/>
    <c:showDLblsOverMax val="0"/>
  </c:chart>
  <c:spPr>
    <a:noFill/>
    <a:ln w="3175">
      <a:solidFill>
        <a:srgbClr val="000000"/>
      </a:solidFill>
      <a:prstDash val="solid"/>
    </a:ln>
  </c:spPr>
  <c:txPr>
    <a:bodyPr/>
    <a:lstStyle/>
    <a:p>
      <a:pPr>
        <a:defRPr sz="1000" b="0" i="1"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i="1" u="none" strike="noStrike" baseline="0">
                <a:solidFill>
                  <a:srgbClr val="000000"/>
                </a:solidFill>
                <a:latin typeface="Arial CE"/>
                <a:ea typeface="Arial CE"/>
                <a:cs typeface="Arial CE"/>
              </a:defRPr>
            </a:pPr>
            <a:r>
              <a:rPr lang="sk-SK" sz="1400" b="1" i="0" u="none" strike="noStrike" baseline="0">
                <a:solidFill>
                  <a:srgbClr val="000000"/>
                </a:solidFill>
                <a:latin typeface="Calibri"/>
              </a:rPr>
              <a:t>Vtláčecí výkonová křivka MND Gas Storage a.s. (180 GWh)</a:t>
            </a:r>
          </a:p>
          <a:p>
            <a:pPr>
              <a:defRPr sz="1000" b="0" i="1" u="none" strike="noStrike" baseline="0">
                <a:solidFill>
                  <a:srgbClr val="000000"/>
                </a:solidFill>
                <a:latin typeface="Arial CE"/>
                <a:ea typeface="Arial CE"/>
                <a:cs typeface="Arial CE"/>
              </a:defRPr>
            </a:pPr>
            <a:r>
              <a:rPr lang="sk-SK" sz="1400" b="1" i="0" u="none" strike="noStrike" baseline="0">
                <a:solidFill>
                  <a:srgbClr val="000000"/>
                </a:solidFill>
                <a:latin typeface="Calibri"/>
              </a:rPr>
              <a:t>Dostupný výkon v závislosti na stavu účtu ukladatele</a:t>
            </a:r>
          </a:p>
        </c:rich>
      </c:tx>
      <c:layout>
        <c:manualLayout>
          <c:xMode val="edge"/>
          <c:yMode val="edge"/>
          <c:x val="0.30153814602132895"/>
          <c:y val="6.1881188118811884E-3"/>
        </c:manualLayout>
      </c:layout>
      <c:overlay val="0"/>
      <c:spPr>
        <a:noFill/>
        <a:ln w="25400">
          <a:noFill/>
        </a:ln>
      </c:spPr>
    </c:title>
    <c:autoTitleDeleted val="0"/>
    <c:plotArea>
      <c:layout>
        <c:manualLayout>
          <c:layoutTarget val="inner"/>
          <c:xMode val="edge"/>
          <c:yMode val="edge"/>
          <c:x val="9.550003721348975E-2"/>
          <c:y val="0.14423304903598638"/>
          <c:w val="0.88450224043142545"/>
          <c:h val="0.74947410549422566"/>
        </c:manualLayout>
      </c:layout>
      <c:scatterChart>
        <c:scatterStyle val="lineMarker"/>
        <c:varyColors val="0"/>
        <c:ser>
          <c:idx val="0"/>
          <c:order val="0"/>
          <c:spPr>
            <a:ln w="38100">
              <a:solidFill>
                <a:srgbClr val="00B050"/>
              </a:solidFill>
              <a:prstDash val="solid"/>
            </a:ln>
          </c:spPr>
          <c:marker>
            <c:symbol val="circle"/>
            <c:size val="6"/>
            <c:spPr>
              <a:solidFill>
                <a:srgbClr val="FFFFFF"/>
              </a:solidFill>
              <a:ln>
                <a:solidFill>
                  <a:srgbClr val="339966"/>
                </a:solidFill>
                <a:prstDash val="solid"/>
              </a:ln>
            </c:spPr>
          </c:marker>
          <c:xVal>
            <c:numRef>
              <c:f>List2!$E$3:$E$4</c:f>
              <c:numCache>
                <c:formatCode>0</c:formatCode>
                <c:ptCount val="2"/>
                <c:pt idx="0">
                  <c:v>100</c:v>
                </c:pt>
                <c:pt idx="1">
                  <c:v>0</c:v>
                </c:pt>
              </c:numCache>
            </c:numRef>
          </c:xVal>
          <c:yVal>
            <c:numRef>
              <c:f>List2!$F$3:$F$4</c:f>
              <c:numCache>
                <c:formatCode>0</c:formatCode>
                <c:ptCount val="2"/>
                <c:pt idx="0">
                  <c:v>100</c:v>
                </c:pt>
                <c:pt idx="1">
                  <c:v>100</c:v>
                </c:pt>
              </c:numCache>
            </c:numRef>
          </c:yVal>
          <c:smooth val="0"/>
        </c:ser>
        <c:dLbls>
          <c:showLegendKey val="0"/>
          <c:showVal val="0"/>
          <c:showCatName val="0"/>
          <c:showSerName val="0"/>
          <c:showPercent val="0"/>
          <c:showBubbleSize val="0"/>
        </c:dLbls>
        <c:axId val="319888120"/>
        <c:axId val="323080616"/>
      </c:scatterChart>
      <c:valAx>
        <c:axId val="319888120"/>
        <c:scaling>
          <c:orientation val="maxMin"/>
          <c:max val="100"/>
        </c:scaling>
        <c:delete val="0"/>
        <c:axPos val="b"/>
        <c:majorGridlines>
          <c:spPr>
            <a:ln w="3175">
              <a:solidFill>
                <a:srgbClr val="808080"/>
              </a:solidFill>
              <a:prstDash val="sysDash"/>
            </a:ln>
          </c:spPr>
        </c:majorGridlines>
        <c:title>
          <c:tx>
            <c:rich>
              <a:bodyPr/>
              <a:lstStyle/>
              <a:p>
                <a:pPr>
                  <a:defRPr sz="1100" b="1" i="0" u="none" strike="noStrike" baseline="0">
                    <a:solidFill>
                      <a:srgbClr val="000000"/>
                    </a:solidFill>
                    <a:latin typeface="Calibri"/>
                    <a:ea typeface="Calibri"/>
                    <a:cs typeface="Calibri"/>
                  </a:defRPr>
                </a:pPr>
                <a:r>
                  <a:rPr lang="sk-SK"/>
                  <a:t>Stav účtu ukladatele (%)</a:t>
                </a:r>
              </a:p>
            </c:rich>
          </c:tx>
          <c:layout>
            <c:manualLayout>
              <c:xMode val="edge"/>
              <c:yMode val="edge"/>
              <c:x val="0.42577030069557487"/>
              <c:y val="0.95070421282085504"/>
            </c:manualLayout>
          </c:layout>
          <c:overlay val="0"/>
          <c:spPr>
            <a:noFill/>
            <a:ln w="25400">
              <a:noFill/>
            </a:ln>
          </c:spPr>
        </c:title>
        <c:numFmt formatCode="0" sourceLinked="0"/>
        <c:majorTickMark val="out"/>
        <c:minorTickMark val="in"/>
        <c:tickLblPos val="nextTo"/>
        <c:spPr>
          <a:ln w="3175">
            <a:solidFill>
              <a:srgbClr val="000000"/>
            </a:solidFill>
            <a:prstDash val="solid"/>
          </a:ln>
        </c:spPr>
        <c:txPr>
          <a:bodyPr rot="0" vert="horz"/>
          <a:lstStyle/>
          <a:p>
            <a:pPr>
              <a:defRPr sz="1000" b="0" i="0" u="none" strike="noStrike" baseline="0">
                <a:solidFill>
                  <a:srgbClr val="000000"/>
                </a:solidFill>
                <a:latin typeface="Arial CE"/>
                <a:ea typeface="Arial CE"/>
                <a:cs typeface="Arial CE"/>
              </a:defRPr>
            </a:pPr>
            <a:endParaRPr lang="cs-CZ"/>
          </a:p>
        </c:txPr>
        <c:crossAx val="323080616"/>
        <c:crosses val="autoZero"/>
        <c:crossBetween val="midCat"/>
        <c:majorUnit val="10"/>
        <c:minorUnit val="1"/>
      </c:valAx>
      <c:valAx>
        <c:axId val="323080616"/>
        <c:scaling>
          <c:orientation val="minMax"/>
          <c:max val="119"/>
          <c:min val="0"/>
        </c:scaling>
        <c:delete val="0"/>
        <c:axPos val="l"/>
        <c:majorGridlines>
          <c:spPr>
            <a:ln w="3175">
              <a:solidFill>
                <a:srgbClr val="969696"/>
              </a:solidFill>
              <a:prstDash val="sysDash"/>
            </a:ln>
          </c:spPr>
        </c:majorGridlines>
        <c:title>
          <c:tx>
            <c:rich>
              <a:bodyPr/>
              <a:lstStyle/>
              <a:p>
                <a:pPr>
                  <a:defRPr sz="1100" b="1" i="0" u="none" strike="noStrike" baseline="0">
                    <a:solidFill>
                      <a:srgbClr val="000000"/>
                    </a:solidFill>
                    <a:latin typeface="Calibri"/>
                    <a:ea typeface="Calibri"/>
                    <a:cs typeface="Calibri"/>
                  </a:defRPr>
                </a:pPr>
                <a:r>
                  <a:rPr lang="sk-SK"/>
                  <a:t>Maximální vtláční výkon (%)</a:t>
                </a:r>
              </a:p>
            </c:rich>
          </c:tx>
          <c:layout>
            <c:manualLayout>
              <c:xMode val="edge"/>
              <c:yMode val="edge"/>
              <c:x val="0"/>
              <c:y val="0.37605631923128252"/>
            </c:manualLayout>
          </c:layout>
          <c:overlay val="0"/>
          <c:spPr>
            <a:noFill/>
            <a:ln w="25400">
              <a:noFill/>
            </a:ln>
          </c:spPr>
        </c:title>
        <c:numFmt formatCode="#,##0_ ;[Red]\-#,##0\ " sourceLinked="0"/>
        <c:majorTickMark val="out"/>
        <c:minorTickMark val="in"/>
        <c:tickLblPos val="nextTo"/>
        <c:spPr>
          <a:ln w="3175">
            <a:solidFill>
              <a:srgbClr val="000000"/>
            </a:solidFill>
            <a:prstDash val="solid"/>
          </a:ln>
        </c:spPr>
        <c:txPr>
          <a:bodyPr rot="0" vert="horz"/>
          <a:lstStyle/>
          <a:p>
            <a:pPr>
              <a:defRPr sz="1000" b="0" i="0" u="none" strike="noStrike" baseline="0">
                <a:solidFill>
                  <a:srgbClr val="000000"/>
                </a:solidFill>
                <a:latin typeface="Arial CE"/>
                <a:ea typeface="Arial CE"/>
                <a:cs typeface="Arial CE"/>
              </a:defRPr>
            </a:pPr>
            <a:endParaRPr lang="cs-CZ"/>
          </a:p>
        </c:txPr>
        <c:crossAx val="319888120"/>
        <c:crosses val="max"/>
        <c:crossBetween val="midCat"/>
        <c:majorUnit val="10"/>
      </c:valAx>
      <c:spPr>
        <a:noFill/>
        <a:ln w="12700">
          <a:solidFill>
            <a:srgbClr val="000000"/>
          </a:solidFill>
          <a:prstDash val="solid"/>
        </a:ln>
      </c:spPr>
    </c:plotArea>
    <c:plotVisOnly val="1"/>
    <c:dispBlanksAs val="gap"/>
    <c:showDLblsOverMax val="0"/>
  </c:chart>
  <c:spPr>
    <a:noFill/>
    <a:ln w="3175">
      <a:solidFill>
        <a:srgbClr val="000000"/>
      </a:solidFill>
      <a:prstDash val="solid"/>
    </a:ln>
  </c:spPr>
  <c:txPr>
    <a:bodyPr/>
    <a:lstStyle/>
    <a:p>
      <a:pPr>
        <a:defRPr sz="1000" b="0" i="1"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drawings/_rels/drawing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rawings/_rels/drawing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0.73475</cdr:x>
      <cdr:y>0.4855</cdr:y>
    </cdr:from>
    <cdr:to>
      <cdr:x>0.73475</cdr:x>
      <cdr:y>0.4855</cdr:y>
    </cdr:to>
    <cdr:sp macro="" textlink="">
      <cdr:nvSpPr>
        <cdr:cNvPr id="236545" name="AutoShape 1"/>
        <cdr:cNvSpPr>
          <a:spLocks xmlns:a="http://schemas.openxmlformats.org/drawingml/2006/main" noChangeShapeType="1"/>
        </cdr:cNvSpPr>
      </cdr:nvSpPr>
      <cdr:spPr bwMode="auto">
        <a:xfrm xmlns:a="http://schemas.openxmlformats.org/drawingml/2006/main" rot="5400000" flipV="1">
          <a:off x="7191899" y="3325963"/>
          <a:ext cx="0" cy="0"/>
        </a:xfrm>
        <a:prstGeom xmlns:a="http://schemas.openxmlformats.org/drawingml/2006/main" prst="curvedConnector3">
          <a:avLst>
            <a:gd name="adj1" fmla="val -5"/>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sk-SK"/>
        </a:p>
      </cdr:txBody>
    </cdr:sp>
  </cdr:relSizeAnchor>
  <cdr:relSizeAnchor xmlns:cdr="http://schemas.openxmlformats.org/drawingml/2006/chartDrawing">
    <cdr:from>
      <cdr:x>0.01892</cdr:x>
      <cdr:y>0.01056</cdr:y>
    </cdr:from>
    <cdr:to>
      <cdr:x>0.09317</cdr:x>
      <cdr:y>0.04756</cdr:y>
    </cdr:to>
    <cdr:pic>
      <cdr:nvPicPr>
        <cdr:cNvPr id="274515" name="Obrázek 1"/>
        <cdr:cNvPicPr>
          <a:picLocks xmlns:a="http://schemas.openxmlformats.org/drawingml/2006/main" noChangeAspect="1" noChangeArrowheads="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190500" y="71437"/>
          <a:ext cx="762723" cy="25698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pic>
  </cdr:relSizeAnchor>
  <cdr:relSizeAnchor xmlns:cdr="http://schemas.openxmlformats.org/drawingml/2006/chartDrawing">
    <cdr:from>
      <cdr:x>0.01892</cdr:x>
      <cdr:y>0.05735</cdr:y>
    </cdr:from>
    <cdr:to>
      <cdr:x>0.12442</cdr:x>
      <cdr:y>0.0821</cdr:y>
    </cdr:to>
    <cdr:pic>
      <cdr:nvPicPr>
        <cdr:cNvPr id="274516" name="Obrázek 1"/>
        <cdr:cNvPicPr>
          <a:picLocks xmlns:a="http://schemas.openxmlformats.org/drawingml/2006/main" noChangeAspect="1" noChangeArrowheads="1"/>
        </cdr:cNvPicPr>
      </cdr:nvPicPr>
      <cdr:blipFill>
        <a:blip xmlns:a="http://schemas.openxmlformats.org/drawingml/2006/main" xmlns:r="http://schemas.openxmlformats.org/officeDocument/2006/relationships" r:embed="rId2">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190500" y="392906"/>
          <a:ext cx="1076486" cy="170759"/>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pic>
  </cdr:relSizeAnchor>
</c:userShapes>
</file>

<file path=word/drawings/drawing2.xml><?xml version="1.0" encoding="utf-8"?>
<c:userShapes xmlns:c="http://schemas.openxmlformats.org/drawingml/2006/chart">
  <cdr:relSizeAnchor xmlns:cdr="http://schemas.openxmlformats.org/drawingml/2006/chartDrawing">
    <cdr:from>
      <cdr:x>0.7315</cdr:x>
      <cdr:y>0.5105</cdr:y>
    </cdr:from>
    <cdr:to>
      <cdr:x>0.7315</cdr:x>
      <cdr:y>0.5105</cdr:y>
    </cdr:to>
    <cdr:sp macro="" textlink="">
      <cdr:nvSpPr>
        <cdr:cNvPr id="248833" name="AutoShape 1"/>
        <cdr:cNvSpPr>
          <a:spLocks xmlns:a="http://schemas.openxmlformats.org/drawingml/2006/main" noChangeShapeType="1"/>
        </cdr:cNvSpPr>
      </cdr:nvSpPr>
      <cdr:spPr bwMode="auto">
        <a:xfrm xmlns:a="http://schemas.openxmlformats.org/drawingml/2006/main" rot="5400000" flipV="1">
          <a:off x="7184248" y="3464019"/>
          <a:ext cx="0" cy="0"/>
        </a:xfrm>
        <a:prstGeom xmlns:a="http://schemas.openxmlformats.org/drawingml/2006/main" prst="curvedConnector3">
          <a:avLst>
            <a:gd name="adj1" fmla="val -5"/>
          </a:avLst>
        </a:prstGeom>
        <a:noFill xmlns:a="http://schemas.openxmlformats.org/drawingml/2006/main"/>
        <a:ln xmlns:a="http://schemas.openxmlformats.org/drawingml/2006/main" w="9525">
          <a:solidFill>
            <a:srgbClr val="000000"/>
          </a:solidFill>
          <a:round/>
          <a:headEnd/>
          <a:tailEnd/>
        </a:ln>
        <a:effectLst xmlns:a="http://schemas.openxmlformats.org/drawingml/2006/main"/>
      </cdr:spPr>
      <cdr:txBody>
        <a:bodyPr xmlns:a="http://schemas.openxmlformats.org/drawingml/2006/main"/>
        <a:lstStyle xmlns:a="http://schemas.openxmlformats.org/drawingml/2006/main"/>
        <a:p xmlns:a="http://schemas.openxmlformats.org/drawingml/2006/main">
          <a:endParaRPr lang="sk-SK"/>
        </a:p>
      </cdr:txBody>
    </cdr:sp>
  </cdr:relSizeAnchor>
  <cdr:relSizeAnchor xmlns:cdr="http://schemas.openxmlformats.org/drawingml/2006/chartDrawing">
    <cdr:from>
      <cdr:x>0.54082</cdr:x>
      <cdr:y>0.01394</cdr:y>
    </cdr:from>
    <cdr:to>
      <cdr:x>0.63146</cdr:x>
      <cdr:y>0.14721</cdr:y>
    </cdr:to>
    <cdr:sp macro="" textlink="">
      <cdr:nvSpPr>
        <cdr:cNvPr id="7" name="TextovéPole 6"/>
        <cdr:cNvSpPr txBox="1"/>
      </cdr:nvSpPr>
      <cdr:spPr>
        <a:xfrm xmlns:a="http://schemas.openxmlformats.org/drawingml/2006/main">
          <a:off x="5251858" y="96124"/>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sk-SK"/>
        </a:p>
      </cdr:txBody>
    </cdr:sp>
  </cdr:relSizeAnchor>
  <cdr:relSizeAnchor xmlns:cdr="http://schemas.openxmlformats.org/drawingml/2006/chartDrawing">
    <cdr:from>
      <cdr:x>0.01259</cdr:x>
      <cdr:y>0.01031</cdr:y>
    </cdr:from>
    <cdr:to>
      <cdr:x>0.08659</cdr:x>
      <cdr:y>0.04806</cdr:y>
    </cdr:to>
    <cdr:pic>
      <cdr:nvPicPr>
        <cdr:cNvPr id="307247" name="Obrázek 1"/>
        <cdr:cNvPicPr>
          <a:picLocks xmlns:a="http://schemas.openxmlformats.org/drawingml/2006/main" noChangeAspect="1" noChangeArrowheads="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130969" y="71439"/>
          <a:ext cx="762723" cy="25698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pic>
  </cdr:relSizeAnchor>
  <cdr:relSizeAnchor xmlns:cdr="http://schemas.openxmlformats.org/drawingml/2006/chartDrawing">
    <cdr:from>
      <cdr:x>0.0135</cdr:x>
      <cdr:y>0.05383</cdr:y>
    </cdr:from>
    <cdr:to>
      <cdr:x>0.11825</cdr:x>
      <cdr:y>0.08008</cdr:y>
    </cdr:to>
    <cdr:pic>
      <cdr:nvPicPr>
        <cdr:cNvPr id="307248" name="Obrázek 1"/>
        <cdr:cNvPicPr>
          <a:picLocks xmlns:a="http://schemas.openxmlformats.org/drawingml/2006/main" noChangeAspect="1" noChangeArrowheads="1"/>
        </cdr:cNvPicPr>
      </cdr:nvPicPr>
      <cdr:blipFill>
        <a:blip xmlns:a="http://schemas.openxmlformats.org/drawingml/2006/main" xmlns:r="http://schemas.openxmlformats.org/officeDocument/2006/relationships" r:embed="rId2">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142875" y="369093"/>
          <a:ext cx="1076486" cy="170759"/>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pic>
  </cdr:relSizeAnchor>
</c:userShape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4B375-2E96-4F52-A20E-65DA3FE4E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1944</Words>
  <Characters>11470</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Informace</vt:lpstr>
    </vt:vector>
  </TitlesOfParts>
  <Company>MNDAS</Company>
  <LinksUpToDate>false</LinksUpToDate>
  <CharactersWithSpaces>13388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Informace</dc:title>
  <dc:creator>Ivana Dočkalová</dc:creator>
  <cp:lastModifiedBy>Brůček Josef</cp:lastModifiedBy>
  <cp:revision>4</cp:revision>
  <cp:lastPrinted>2016-03-01T13:46:00Z</cp:lastPrinted>
  <dcterms:created xsi:type="dcterms:W3CDTF">2016-10-25T16:47:00Z</dcterms:created>
  <dcterms:modified xsi:type="dcterms:W3CDTF">2016-10-26T08:47:00Z</dcterms:modified>
</cp:coreProperties>
</file>