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2A0" w:rsidRPr="00D06F76" w:rsidRDefault="00D932A0" w:rsidP="00201CFC">
      <w:pPr>
        <w:tabs>
          <w:tab w:val="left" w:pos="284"/>
        </w:tabs>
        <w:spacing w:line="276" w:lineRule="auto"/>
        <w:jc w:val="center"/>
        <w:rPr>
          <w:rFonts w:ascii="Calibri" w:hAnsi="Calibri"/>
          <w:b/>
          <w:bCs/>
          <w:sz w:val="28"/>
          <w:szCs w:val="28"/>
        </w:rPr>
      </w:pPr>
      <w:r w:rsidRPr="00D06F76">
        <w:rPr>
          <w:rFonts w:ascii="Calibri" w:hAnsi="Calibri"/>
          <w:b/>
          <w:bCs/>
          <w:sz w:val="28"/>
          <w:szCs w:val="28"/>
        </w:rPr>
        <w:t xml:space="preserve">Smlouva o uskladňování plynu pro rezervaci roční skladovací kapacity </w:t>
      </w:r>
      <w:r w:rsidR="00692BCE">
        <w:rPr>
          <w:rFonts w:ascii="Calibri" w:hAnsi="Calibri"/>
          <w:b/>
          <w:bCs/>
          <w:sz w:val="28"/>
          <w:szCs w:val="28"/>
        </w:rPr>
        <w:tab/>
      </w:r>
      <w:r w:rsidR="00692BCE">
        <w:rPr>
          <w:rFonts w:ascii="Calibri" w:hAnsi="Calibri"/>
          <w:b/>
          <w:bCs/>
          <w:sz w:val="28"/>
          <w:szCs w:val="28"/>
        </w:rPr>
        <w:tab/>
      </w:r>
      <w:r w:rsidRPr="00D06F76">
        <w:rPr>
          <w:rFonts w:ascii="Calibri" w:hAnsi="Calibri"/>
          <w:b/>
          <w:bCs/>
          <w:sz w:val="28"/>
          <w:szCs w:val="28"/>
        </w:rPr>
        <w:t>s pevným výkonem</w:t>
      </w:r>
      <w:r w:rsidR="0069097F">
        <w:rPr>
          <w:rFonts w:ascii="Calibri" w:hAnsi="Calibri"/>
          <w:b/>
          <w:bCs/>
          <w:sz w:val="28"/>
          <w:szCs w:val="28"/>
        </w:rPr>
        <w:t xml:space="preserve"> </w:t>
      </w:r>
      <w:r w:rsidR="004152A8">
        <w:rPr>
          <w:rFonts w:ascii="Calibri" w:hAnsi="Calibri"/>
          <w:b/>
          <w:bCs/>
          <w:sz w:val="28"/>
          <w:szCs w:val="28"/>
        </w:rPr>
        <w:t>(vzor)</w:t>
      </w:r>
    </w:p>
    <w:p w:rsidR="00D932A0" w:rsidRPr="00D06F76" w:rsidRDefault="00D932A0" w:rsidP="00201CFC">
      <w:pPr>
        <w:spacing w:line="276" w:lineRule="auto"/>
        <w:jc w:val="center"/>
        <w:rPr>
          <w:rFonts w:ascii="Calibri" w:hAnsi="Calibri"/>
          <w:b/>
          <w:sz w:val="28"/>
          <w:szCs w:val="28"/>
        </w:rPr>
      </w:pPr>
    </w:p>
    <w:p w:rsidR="00D932A0" w:rsidRPr="00D06F76" w:rsidRDefault="00D932A0" w:rsidP="00201CFC">
      <w:pPr>
        <w:pStyle w:val="Odstavecseseznamem"/>
        <w:ind w:left="1800"/>
        <w:rPr>
          <w:b/>
          <w:sz w:val="24"/>
          <w:szCs w:val="24"/>
        </w:rPr>
      </w:pPr>
      <w:r w:rsidRPr="00D06F76">
        <w:rPr>
          <w:b/>
          <w:sz w:val="24"/>
          <w:szCs w:val="24"/>
        </w:rPr>
        <w:t xml:space="preserve">                                   I.</w:t>
      </w:r>
      <w:r w:rsidR="008A6F67">
        <w:rPr>
          <w:b/>
          <w:sz w:val="24"/>
          <w:szCs w:val="24"/>
        </w:rPr>
        <w:t xml:space="preserve"> </w:t>
      </w:r>
      <w:r w:rsidRPr="00D06F76">
        <w:rPr>
          <w:b/>
          <w:sz w:val="24"/>
          <w:szCs w:val="24"/>
        </w:rPr>
        <w:t>Smluvní strany</w:t>
      </w:r>
    </w:p>
    <w:p w:rsidR="00D932A0" w:rsidRPr="00D06F76" w:rsidRDefault="00D932A0">
      <w:pPr>
        <w:rPr>
          <w:rFonts w:ascii="Calibri" w:hAnsi="Calibri"/>
          <w:b/>
        </w:rPr>
      </w:pPr>
      <w:r w:rsidRPr="00D06F76">
        <w:rPr>
          <w:rFonts w:ascii="Calibri" w:hAnsi="Calibri"/>
          <w:b/>
        </w:rPr>
        <w:t>MND Gas Storage a.s.</w:t>
      </w:r>
    </w:p>
    <w:p w:rsidR="00D932A0" w:rsidRPr="00D06F76" w:rsidRDefault="00D932A0">
      <w:pPr>
        <w:tabs>
          <w:tab w:val="left" w:pos="426"/>
        </w:tabs>
        <w:rPr>
          <w:rFonts w:ascii="Calibri" w:hAnsi="Calibri"/>
        </w:rPr>
      </w:pPr>
      <w:r w:rsidRPr="00D06F76">
        <w:rPr>
          <w:rFonts w:ascii="Calibri" w:hAnsi="Calibri"/>
          <w:b/>
        </w:rPr>
        <w:t xml:space="preserve">      </w:t>
      </w:r>
      <w:r w:rsidR="00D50B61">
        <w:rPr>
          <w:rFonts w:ascii="Calibri" w:hAnsi="Calibri"/>
          <w:b/>
        </w:rPr>
        <w:tab/>
      </w:r>
      <w:r w:rsidR="00A33E92">
        <w:rPr>
          <w:rFonts w:ascii="Calibri" w:hAnsi="Calibri"/>
          <w:b/>
        </w:rPr>
        <w:t>s</w:t>
      </w:r>
      <w:r w:rsidRPr="00D06F76">
        <w:rPr>
          <w:rFonts w:ascii="Calibri" w:hAnsi="Calibri"/>
          <w:b/>
        </w:rPr>
        <w:t xml:space="preserve">e sídlem: </w:t>
      </w:r>
      <w:r w:rsidRPr="00D06F76">
        <w:rPr>
          <w:rFonts w:ascii="Calibri" w:hAnsi="Calibri"/>
        </w:rPr>
        <w:t>Úprkova 807/6, 695 01 Hodonín</w:t>
      </w:r>
      <w:r w:rsidR="00A33E92">
        <w:rPr>
          <w:rFonts w:ascii="Calibri" w:hAnsi="Calibri"/>
        </w:rPr>
        <w:t>,</w:t>
      </w:r>
    </w:p>
    <w:p w:rsidR="003B5B2A" w:rsidRPr="000E4188" w:rsidRDefault="00D932A0">
      <w:pPr>
        <w:tabs>
          <w:tab w:val="left" w:pos="426"/>
        </w:tabs>
        <w:rPr>
          <w:rFonts w:ascii="Calibri" w:hAnsi="Calibri"/>
        </w:rPr>
      </w:pPr>
      <w:r w:rsidRPr="00D06F76">
        <w:rPr>
          <w:rFonts w:ascii="Calibri" w:hAnsi="Calibri"/>
        </w:rPr>
        <w:t xml:space="preserve">       </w:t>
      </w:r>
      <w:r w:rsidR="00D50B61">
        <w:rPr>
          <w:rFonts w:ascii="Calibri" w:hAnsi="Calibri"/>
        </w:rPr>
        <w:tab/>
      </w:r>
      <w:r w:rsidR="00A33E92">
        <w:rPr>
          <w:rFonts w:ascii="Calibri" w:hAnsi="Calibri"/>
          <w:b/>
        </w:rPr>
        <w:t>z</w:t>
      </w:r>
      <w:r w:rsidRPr="00D06F76">
        <w:rPr>
          <w:rFonts w:ascii="Calibri" w:hAnsi="Calibri"/>
          <w:b/>
        </w:rPr>
        <w:t>astoupena</w:t>
      </w:r>
      <w:r w:rsidR="000E4188">
        <w:rPr>
          <w:rFonts w:ascii="Calibri" w:hAnsi="Calibri"/>
          <w:b/>
        </w:rPr>
        <w:t xml:space="preserve">: </w:t>
      </w:r>
      <w:r w:rsidR="000E4188" w:rsidRPr="000E4188">
        <w:rPr>
          <w:rFonts w:ascii="Calibri" w:hAnsi="Calibri"/>
        </w:rPr>
        <w:t>Ing. Karlem Lunerem, předsedou představenstva,</w:t>
      </w:r>
    </w:p>
    <w:p w:rsidR="000E4188" w:rsidRPr="000E4188" w:rsidRDefault="000E4188">
      <w:pPr>
        <w:tabs>
          <w:tab w:val="left" w:pos="426"/>
        </w:tabs>
        <w:rPr>
          <w:rFonts w:ascii="Calibri" w:hAnsi="Calibri"/>
        </w:rPr>
      </w:pPr>
      <w:r w:rsidRPr="000E4188">
        <w:rPr>
          <w:rFonts w:ascii="Calibri" w:hAnsi="Calibri"/>
        </w:rPr>
        <w:tab/>
      </w:r>
      <w:r w:rsidRPr="000E4188">
        <w:rPr>
          <w:rFonts w:ascii="Calibri" w:hAnsi="Calibri"/>
        </w:rPr>
        <w:tab/>
      </w:r>
      <w:r w:rsidRPr="000E4188">
        <w:rPr>
          <w:rFonts w:ascii="Calibri" w:hAnsi="Calibri"/>
        </w:rPr>
        <w:tab/>
      </w:r>
      <w:r>
        <w:rPr>
          <w:rFonts w:ascii="Calibri" w:hAnsi="Calibri"/>
        </w:rPr>
        <w:t xml:space="preserve">     </w:t>
      </w:r>
      <w:r w:rsidRPr="000E4188">
        <w:rPr>
          <w:rFonts w:ascii="Calibri" w:hAnsi="Calibri"/>
        </w:rPr>
        <w:t>Mgr. Slavomírem Hallou, místopředsedou představenstva</w:t>
      </w:r>
    </w:p>
    <w:p w:rsidR="00D932A0" w:rsidRPr="00D06F76" w:rsidRDefault="00D932A0">
      <w:pPr>
        <w:tabs>
          <w:tab w:val="left" w:pos="426"/>
        </w:tabs>
        <w:rPr>
          <w:rFonts w:ascii="Calibri" w:hAnsi="Calibri"/>
        </w:rPr>
      </w:pPr>
      <w:r w:rsidRPr="00D06F76">
        <w:rPr>
          <w:rFonts w:ascii="Calibri" w:hAnsi="Calibri"/>
        </w:rPr>
        <w:t xml:space="preserve">       </w:t>
      </w:r>
      <w:r w:rsidR="00D50B61">
        <w:rPr>
          <w:rFonts w:ascii="Calibri" w:hAnsi="Calibri"/>
        </w:rPr>
        <w:tab/>
      </w:r>
      <w:r w:rsidRPr="00D06F76">
        <w:rPr>
          <w:rFonts w:ascii="Calibri" w:hAnsi="Calibri"/>
          <w:b/>
        </w:rPr>
        <w:t>I</w:t>
      </w:r>
      <w:r w:rsidR="00D50B61">
        <w:rPr>
          <w:rFonts w:ascii="Calibri" w:hAnsi="Calibri"/>
          <w:b/>
        </w:rPr>
        <w:t>Č</w:t>
      </w:r>
      <w:r w:rsidRPr="00D06F76">
        <w:rPr>
          <w:rFonts w:ascii="Calibri" w:hAnsi="Calibri"/>
          <w:b/>
        </w:rPr>
        <w:t>:</w:t>
      </w:r>
      <w:r w:rsidRPr="00D06F76">
        <w:rPr>
          <w:rFonts w:ascii="Calibri" w:hAnsi="Calibri"/>
        </w:rPr>
        <w:t xml:space="preserve"> 27732894</w:t>
      </w:r>
      <w:r w:rsidR="00A33E92">
        <w:rPr>
          <w:rFonts w:ascii="Calibri" w:hAnsi="Calibri"/>
        </w:rPr>
        <w:t>,</w:t>
      </w:r>
    </w:p>
    <w:p w:rsidR="00D932A0" w:rsidRPr="00D06F76" w:rsidRDefault="00D932A0">
      <w:pPr>
        <w:tabs>
          <w:tab w:val="left" w:pos="426"/>
        </w:tabs>
        <w:rPr>
          <w:rFonts w:ascii="Calibri" w:hAnsi="Calibri"/>
        </w:rPr>
      </w:pPr>
      <w:r w:rsidRPr="00D06F76">
        <w:rPr>
          <w:rFonts w:ascii="Calibri" w:hAnsi="Calibri"/>
        </w:rPr>
        <w:t xml:space="preserve">       </w:t>
      </w:r>
      <w:r w:rsidR="00D50B61">
        <w:rPr>
          <w:rFonts w:ascii="Calibri" w:hAnsi="Calibri"/>
        </w:rPr>
        <w:tab/>
      </w:r>
      <w:r w:rsidRPr="00D06F76">
        <w:rPr>
          <w:rFonts w:ascii="Calibri" w:hAnsi="Calibri"/>
          <w:b/>
        </w:rPr>
        <w:t>D</w:t>
      </w:r>
      <w:r w:rsidR="00D50B61">
        <w:rPr>
          <w:rFonts w:ascii="Calibri" w:hAnsi="Calibri"/>
          <w:b/>
        </w:rPr>
        <w:t>IČ</w:t>
      </w:r>
      <w:r w:rsidRPr="00D06F76">
        <w:rPr>
          <w:rFonts w:ascii="Calibri" w:hAnsi="Calibri"/>
          <w:b/>
        </w:rPr>
        <w:t>:</w:t>
      </w:r>
      <w:r w:rsidRPr="00D06F76">
        <w:rPr>
          <w:rFonts w:ascii="Calibri" w:hAnsi="Calibri"/>
        </w:rPr>
        <w:t xml:space="preserve"> CZ27732894</w:t>
      </w:r>
      <w:r w:rsidR="00A33E92">
        <w:rPr>
          <w:rFonts w:ascii="Calibri" w:hAnsi="Calibri"/>
        </w:rPr>
        <w:t>,</w:t>
      </w:r>
    </w:p>
    <w:p w:rsidR="00D932A0" w:rsidRPr="00D06F76" w:rsidRDefault="00D932A0">
      <w:pPr>
        <w:tabs>
          <w:tab w:val="left" w:pos="426"/>
        </w:tabs>
        <w:rPr>
          <w:rFonts w:ascii="Calibri" w:hAnsi="Calibri"/>
        </w:rPr>
      </w:pPr>
      <w:r w:rsidRPr="00D06F76">
        <w:rPr>
          <w:rFonts w:ascii="Calibri" w:hAnsi="Calibri"/>
          <w:b/>
        </w:rPr>
        <w:t xml:space="preserve">       </w:t>
      </w:r>
      <w:r w:rsidR="00D50B61">
        <w:rPr>
          <w:rFonts w:ascii="Calibri" w:hAnsi="Calibri"/>
          <w:b/>
        </w:rPr>
        <w:tab/>
      </w:r>
      <w:r w:rsidR="00A33E92">
        <w:rPr>
          <w:rFonts w:ascii="Calibri" w:hAnsi="Calibri"/>
          <w:b/>
        </w:rPr>
        <w:t>b</w:t>
      </w:r>
      <w:r w:rsidRPr="00D06F76">
        <w:rPr>
          <w:rFonts w:ascii="Calibri" w:hAnsi="Calibri"/>
          <w:b/>
        </w:rPr>
        <w:t>ankovní spojení:</w:t>
      </w:r>
      <w:r w:rsidRPr="00D06F76">
        <w:rPr>
          <w:rFonts w:ascii="Calibri" w:hAnsi="Calibri"/>
        </w:rPr>
        <w:t xml:space="preserve"> ČSOB, a.s., pobočka Brno</w:t>
      </w:r>
      <w:r w:rsidR="00A33E92">
        <w:rPr>
          <w:rFonts w:ascii="Calibri" w:hAnsi="Calibri"/>
        </w:rPr>
        <w:t>,</w:t>
      </w:r>
    </w:p>
    <w:p w:rsidR="00D932A0" w:rsidRPr="00D06F76" w:rsidRDefault="00D932A0">
      <w:pPr>
        <w:tabs>
          <w:tab w:val="left" w:pos="426"/>
        </w:tabs>
        <w:rPr>
          <w:rFonts w:ascii="Calibri" w:hAnsi="Calibri"/>
        </w:rPr>
      </w:pPr>
      <w:r w:rsidRPr="00D06F76">
        <w:rPr>
          <w:rFonts w:ascii="Calibri" w:hAnsi="Calibri"/>
          <w:b/>
        </w:rPr>
        <w:t xml:space="preserve">        č. účtu</w:t>
      </w:r>
      <w:r w:rsidRPr="00D06F76">
        <w:rPr>
          <w:rFonts w:ascii="Calibri" w:hAnsi="Calibri"/>
        </w:rPr>
        <w:t xml:space="preserve"> – 17402743/0300</w:t>
      </w:r>
      <w:r w:rsidR="00A33E92">
        <w:rPr>
          <w:rFonts w:ascii="Calibri" w:hAnsi="Calibri"/>
        </w:rPr>
        <w:t>,</w:t>
      </w:r>
    </w:p>
    <w:p w:rsidR="00D932A0" w:rsidRPr="00D06F76" w:rsidRDefault="00D932A0">
      <w:pPr>
        <w:rPr>
          <w:rFonts w:ascii="Calibri" w:hAnsi="Calibri"/>
        </w:rPr>
      </w:pPr>
      <w:r w:rsidRPr="00D06F76">
        <w:rPr>
          <w:rFonts w:ascii="Calibri" w:hAnsi="Calibri"/>
        </w:rPr>
        <w:t xml:space="preserve">      </w:t>
      </w:r>
      <w:r w:rsidR="00A33E92">
        <w:rPr>
          <w:rFonts w:ascii="Calibri" w:hAnsi="Calibri"/>
        </w:rPr>
        <w:t xml:space="preserve"> </w:t>
      </w:r>
      <w:r w:rsidR="00594B3A">
        <w:rPr>
          <w:rFonts w:ascii="Calibri" w:hAnsi="Calibri"/>
        </w:rPr>
        <w:t xml:space="preserve"> </w:t>
      </w:r>
      <w:r w:rsidR="00A33E92" w:rsidRPr="00201CFC">
        <w:rPr>
          <w:rFonts w:ascii="Calibri" w:hAnsi="Calibri"/>
          <w:b/>
        </w:rPr>
        <w:t>společnost z</w:t>
      </w:r>
      <w:r w:rsidRPr="00201CFC">
        <w:rPr>
          <w:rFonts w:ascii="Calibri" w:hAnsi="Calibri"/>
          <w:b/>
        </w:rPr>
        <w:t>apsána</w:t>
      </w:r>
      <w:r w:rsidRPr="00D06F76">
        <w:rPr>
          <w:rFonts w:ascii="Calibri" w:hAnsi="Calibri"/>
        </w:rPr>
        <w:t xml:space="preserve"> u Krajského soudu v Brně, oddíl B, vložka 4925</w:t>
      </w:r>
    </w:p>
    <w:p w:rsidR="00D932A0" w:rsidRPr="00D06F76" w:rsidRDefault="00D932A0">
      <w:pPr>
        <w:rPr>
          <w:rFonts w:ascii="Calibri" w:hAnsi="Calibri"/>
        </w:rPr>
      </w:pPr>
      <w:r w:rsidRPr="00D06F76">
        <w:rPr>
          <w:rFonts w:ascii="Calibri" w:hAnsi="Calibri"/>
        </w:rPr>
        <w:t>(dále také „</w:t>
      </w:r>
      <w:r w:rsidRPr="00D06F76">
        <w:rPr>
          <w:rFonts w:ascii="Calibri" w:hAnsi="Calibri"/>
          <w:b/>
        </w:rPr>
        <w:t>skladovatel</w:t>
      </w:r>
      <w:r w:rsidRPr="00D06F76">
        <w:rPr>
          <w:rFonts w:ascii="Calibri" w:hAnsi="Calibri"/>
        </w:rPr>
        <w:t>“)</w:t>
      </w:r>
      <w:r w:rsidR="00A33E92">
        <w:rPr>
          <w:rFonts w:ascii="Calibri" w:hAnsi="Calibri"/>
        </w:rPr>
        <w:t>;</w:t>
      </w:r>
    </w:p>
    <w:p w:rsidR="00D932A0" w:rsidRPr="00D06F76" w:rsidRDefault="00D932A0" w:rsidP="00201CFC">
      <w:pPr>
        <w:spacing w:before="120" w:after="120"/>
        <w:jc w:val="center"/>
        <w:rPr>
          <w:rFonts w:ascii="Calibri" w:hAnsi="Calibri"/>
          <w:b/>
        </w:rPr>
      </w:pPr>
      <w:r w:rsidRPr="00D06F76">
        <w:rPr>
          <w:rFonts w:ascii="Calibri" w:hAnsi="Calibri"/>
          <w:b/>
        </w:rPr>
        <w:t>a</w:t>
      </w:r>
    </w:p>
    <w:p w:rsidR="00D932A0" w:rsidRPr="003B5B2A" w:rsidRDefault="0062124A">
      <w:pPr>
        <w:rPr>
          <w:rFonts w:ascii="Calibri" w:hAnsi="Calibri"/>
          <w:b/>
        </w:rPr>
      </w:pPr>
      <w:r>
        <w:rPr>
          <w:rFonts w:ascii="Calibri" w:hAnsi="Calibri"/>
          <w:b/>
        </w:rPr>
        <w:t>Obchodní f</w:t>
      </w:r>
      <w:r w:rsidR="0069097F">
        <w:rPr>
          <w:rFonts w:ascii="Calibri" w:hAnsi="Calibri"/>
          <w:b/>
        </w:rPr>
        <w:t>irma</w:t>
      </w:r>
    </w:p>
    <w:p w:rsidR="00D932A0" w:rsidRPr="00D06F76" w:rsidRDefault="00D932A0">
      <w:pPr>
        <w:rPr>
          <w:rFonts w:ascii="Calibri" w:hAnsi="Calibri"/>
        </w:rPr>
      </w:pPr>
      <w:r w:rsidRPr="00D06F76">
        <w:rPr>
          <w:rFonts w:ascii="Calibri" w:hAnsi="Calibri"/>
        </w:rPr>
        <w:t xml:space="preserve">       </w:t>
      </w:r>
      <w:r w:rsidR="00A33E92">
        <w:rPr>
          <w:rFonts w:ascii="Calibri" w:hAnsi="Calibri"/>
        </w:rPr>
        <w:t>s</w:t>
      </w:r>
      <w:r w:rsidRPr="00D06F76">
        <w:rPr>
          <w:rFonts w:ascii="Calibri" w:hAnsi="Calibri"/>
          <w:b/>
        </w:rPr>
        <w:t>e sídlem:</w:t>
      </w:r>
      <w:r w:rsidRPr="00D06F76">
        <w:rPr>
          <w:rFonts w:ascii="Calibri" w:hAnsi="Calibri"/>
        </w:rPr>
        <w:t xml:space="preserve"> </w:t>
      </w:r>
      <w:r w:rsidR="00A33E92">
        <w:rPr>
          <w:rFonts w:ascii="Calibri" w:hAnsi="Calibri"/>
          <w:b/>
        </w:rPr>
        <w:t>[●],</w:t>
      </w:r>
    </w:p>
    <w:p w:rsidR="003B5B2A" w:rsidRPr="00D06F76" w:rsidRDefault="00D932A0">
      <w:pPr>
        <w:rPr>
          <w:rFonts w:ascii="Calibri" w:hAnsi="Calibri"/>
        </w:rPr>
      </w:pPr>
      <w:r w:rsidRPr="00D06F76">
        <w:rPr>
          <w:rFonts w:ascii="Calibri" w:hAnsi="Calibri"/>
        </w:rPr>
        <w:t xml:space="preserve">       </w:t>
      </w:r>
      <w:r w:rsidR="00A33E92">
        <w:rPr>
          <w:rFonts w:ascii="Calibri" w:hAnsi="Calibri"/>
          <w:b/>
        </w:rPr>
        <w:t>z</w:t>
      </w:r>
      <w:r w:rsidRPr="00D06F76">
        <w:rPr>
          <w:rFonts w:ascii="Calibri" w:hAnsi="Calibri"/>
          <w:b/>
        </w:rPr>
        <w:t>astoupena:</w:t>
      </w:r>
      <w:r w:rsidRPr="00D06F76">
        <w:rPr>
          <w:rFonts w:ascii="Calibri" w:hAnsi="Calibri"/>
        </w:rPr>
        <w:t xml:space="preserve"> </w:t>
      </w:r>
      <w:r w:rsidR="00A33E92">
        <w:rPr>
          <w:rFonts w:ascii="Calibri" w:hAnsi="Calibri"/>
          <w:b/>
        </w:rPr>
        <w:t>[●],</w:t>
      </w:r>
    </w:p>
    <w:p w:rsidR="00D932A0" w:rsidRPr="00D06F76" w:rsidRDefault="00D932A0">
      <w:pPr>
        <w:rPr>
          <w:rFonts w:ascii="Calibri" w:hAnsi="Calibri"/>
        </w:rPr>
      </w:pPr>
      <w:r w:rsidRPr="00D06F76">
        <w:rPr>
          <w:rFonts w:ascii="Calibri" w:hAnsi="Calibri"/>
        </w:rPr>
        <w:t xml:space="preserve">       </w:t>
      </w:r>
      <w:r w:rsidRPr="00D06F76">
        <w:rPr>
          <w:rFonts w:ascii="Calibri" w:hAnsi="Calibri"/>
          <w:b/>
        </w:rPr>
        <w:t>I</w:t>
      </w:r>
      <w:r w:rsidR="0062124A">
        <w:rPr>
          <w:rFonts w:ascii="Calibri" w:hAnsi="Calibri"/>
          <w:b/>
        </w:rPr>
        <w:t>Č</w:t>
      </w:r>
      <w:r w:rsidR="0069097F">
        <w:rPr>
          <w:rFonts w:ascii="Calibri" w:hAnsi="Calibri"/>
        </w:rPr>
        <w:t xml:space="preserve">: </w:t>
      </w:r>
      <w:r w:rsidR="00A33E92">
        <w:rPr>
          <w:rFonts w:ascii="Calibri" w:hAnsi="Calibri"/>
          <w:b/>
        </w:rPr>
        <w:t>[●],</w:t>
      </w:r>
    </w:p>
    <w:p w:rsidR="0069097F" w:rsidRDefault="00D932A0">
      <w:pPr>
        <w:rPr>
          <w:rFonts w:ascii="Calibri" w:hAnsi="Calibri"/>
          <w:b/>
        </w:rPr>
      </w:pPr>
      <w:r w:rsidRPr="00D06F76">
        <w:rPr>
          <w:rFonts w:ascii="Calibri" w:hAnsi="Calibri"/>
        </w:rPr>
        <w:t xml:space="preserve">       </w:t>
      </w:r>
      <w:r w:rsidR="0062124A">
        <w:rPr>
          <w:rFonts w:ascii="Calibri" w:hAnsi="Calibri"/>
          <w:b/>
        </w:rPr>
        <w:t>DIČ</w:t>
      </w:r>
      <w:r w:rsidRPr="00D06F76">
        <w:rPr>
          <w:rFonts w:ascii="Calibri" w:hAnsi="Calibri"/>
          <w:b/>
        </w:rPr>
        <w:t>:</w:t>
      </w:r>
      <w:r w:rsidR="00A33E92">
        <w:rPr>
          <w:rFonts w:ascii="Calibri" w:hAnsi="Calibri"/>
          <w:b/>
        </w:rPr>
        <w:t xml:space="preserve"> [●],</w:t>
      </w:r>
    </w:p>
    <w:p w:rsidR="00D932A0" w:rsidRPr="00D06F76" w:rsidRDefault="00D932A0">
      <w:pPr>
        <w:rPr>
          <w:rFonts w:ascii="Calibri" w:hAnsi="Calibri"/>
        </w:rPr>
      </w:pPr>
      <w:r w:rsidRPr="00D06F76">
        <w:rPr>
          <w:rFonts w:ascii="Calibri" w:hAnsi="Calibri"/>
        </w:rPr>
        <w:t xml:space="preserve">       </w:t>
      </w:r>
      <w:r w:rsidR="00A33E92">
        <w:rPr>
          <w:rFonts w:ascii="Calibri" w:hAnsi="Calibri"/>
          <w:b/>
        </w:rPr>
        <w:t>b</w:t>
      </w:r>
      <w:r w:rsidRPr="00D06F76">
        <w:rPr>
          <w:rFonts w:ascii="Calibri" w:hAnsi="Calibri"/>
          <w:b/>
        </w:rPr>
        <w:t>ankovní spojení:</w:t>
      </w:r>
      <w:r w:rsidRPr="00D06F76">
        <w:rPr>
          <w:rFonts w:ascii="Calibri" w:hAnsi="Calibri"/>
        </w:rPr>
        <w:t xml:space="preserve"> </w:t>
      </w:r>
      <w:r w:rsidR="00A33E92" w:rsidRPr="00594B3A">
        <w:rPr>
          <w:rFonts w:ascii="Calibri" w:hAnsi="Calibri"/>
          <w:b/>
        </w:rPr>
        <w:t>[●]</w:t>
      </w:r>
      <w:r w:rsidR="00A33E92">
        <w:rPr>
          <w:rFonts w:ascii="Calibri" w:hAnsi="Calibri"/>
          <w:b/>
        </w:rPr>
        <w:t>,</w:t>
      </w:r>
    </w:p>
    <w:p w:rsidR="00D932A0" w:rsidRPr="00D06F76" w:rsidRDefault="00D932A0">
      <w:pPr>
        <w:rPr>
          <w:rFonts w:ascii="Calibri" w:hAnsi="Calibri"/>
        </w:rPr>
      </w:pPr>
      <w:r w:rsidRPr="00D06F76">
        <w:rPr>
          <w:rFonts w:ascii="Calibri" w:hAnsi="Calibri"/>
        </w:rPr>
        <w:t xml:space="preserve">       </w:t>
      </w:r>
      <w:r w:rsidRPr="00D06F76">
        <w:rPr>
          <w:rFonts w:ascii="Calibri" w:hAnsi="Calibri"/>
          <w:b/>
        </w:rPr>
        <w:t>č. účtu</w:t>
      </w:r>
      <w:r w:rsidR="0069097F">
        <w:rPr>
          <w:rFonts w:ascii="Calibri" w:hAnsi="Calibri"/>
        </w:rPr>
        <w:t xml:space="preserve"> – </w:t>
      </w:r>
      <w:r w:rsidR="00A33E92">
        <w:rPr>
          <w:rFonts w:ascii="Calibri" w:hAnsi="Calibri"/>
          <w:b/>
        </w:rPr>
        <w:t>[●],</w:t>
      </w:r>
    </w:p>
    <w:p w:rsidR="00D932A0" w:rsidRPr="00D06F76" w:rsidRDefault="00D932A0">
      <w:pPr>
        <w:rPr>
          <w:rFonts w:ascii="Calibri" w:hAnsi="Calibri"/>
        </w:rPr>
      </w:pPr>
      <w:r w:rsidRPr="00D06F76">
        <w:rPr>
          <w:rFonts w:ascii="Calibri" w:hAnsi="Calibri"/>
        </w:rPr>
        <w:t xml:space="preserve">      </w:t>
      </w:r>
      <w:r w:rsidR="00594B3A">
        <w:rPr>
          <w:rFonts w:ascii="Calibri" w:hAnsi="Calibri"/>
        </w:rPr>
        <w:t xml:space="preserve"> </w:t>
      </w:r>
      <w:r w:rsidR="00594B3A" w:rsidRPr="00201CFC">
        <w:rPr>
          <w:rFonts w:ascii="Calibri" w:hAnsi="Calibri"/>
          <w:b/>
        </w:rPr>
        <w:t>s</w:t>
      </w:r>
      <w:r w:rsidR="00A33E92" w:rsidRPr="00201CFC">
        <w:rPr>
          <w:rFonts w:ascii="Calibri" w:hAnsi="Calibri"/>
          <w:b/>
        </w:rPr>
        <w:t>polečnost z</w:t>
      </w:r>
      <w:r w:rsidRPr="00201CFC">
        <w:rPr>
          <w:rFonts w:ascii="Calibri" w:hAnsi="Calibri"/>
          <w:b/>
        </w:rPr>
        <w:t>apsána</w:t>
      </w:r>
      <w:r w:rsidRPr="00D06F76">
        <w:rPr>
          <w:rFonts w:ascii="Calibri" w:hAnsi="Calibri"/>
        </w:rPr>
        <w:t xml:space="preserve"> u</w:t>
      </w:r>
      <w:r w:rsidR="00A33E92">
        <w:rPr>
          <w:rFonts w:ascii="Calibri" w:hAnsi="Calibri"/>
        </w:rPr>
        <w:t xml:space="preserve"> </w:t>
      </w:r>
      <w:r w:rsidR="00A33E92">
        <w:rPr>
          <w:rFonts w:ascii="Calibri" w:hAnsi="Calibri"/>
          <w:b/>
        </w:rPr>
        <w:t>[●]</w:t>
      </w:r>
      <w:r w:rsidR="0069097F">
        <w:rPr>
          <w:rFonts w:ascii="Calibri" w:hAnsi="Calibri"/>
        </w:rPr>
        <w:t xml:space="preserve">, oddíl </w:t>
      </w:r>
      <w:r w:rsidR="00A33E92">
        <w:rPr>
          <w:rFonts w:ascii="Calibri" w:hAnsi="Calibri"/>
          <w:b/>
        </w:rPr>
        <w:t>[●]</w:t>
      </w:r>
      <w:r w:rsidR="0069097F">
        <w:rPr>
          <w:rFonts w:ascii="Calibri" w:hAnsi="Calibri"/>
        </w:rPr>
        <w:t>, vložka</w:t>
      </w:r>
      <w:r w:rsidR="00A33E92">
        <w:rPr>
          <w:rFonts w:ascii="Calibri" w:hAnsi="Calibri"/>
        </w:rPr>
        <w:t xml:space="preserve"> </w:t>
      </w:r>
      <w:r w:rsidR="00A33E92">
        <w:rPr>
          <w:rFonts w:ascii="Calibri" w:hAnsi="Calibri"/>
          <w:b/>
        </w:rPr>
        <w:t>[●]</w:t>
      </w:r>
    </w:p>
    <w:p w:rsidR="00D932A0" w:rsidRPr="00D06F76" w:rsidRDefault="00D932A0">
      <w:pPr>
        <w:rPr>
          <w:rFonts w:ascii="Calibri" w:hAnsi="Calibri"/>
        </w:rPr>
      </w:pPr>
      <w:r w:rsidRPr="00D06F76">
        <w:rPr>
          <w:rFonts w:ascii="Calibri" w:hAnsi="Calibri"/>
        </w:rPr>
        <w:t>(dále také „</w:t>
      </w:r>
      <w:r w:rsidRPr="00D06F76">
        <w:rPr>
          <w:rFonts w:ascii="Calibri" w:hAnsi="Calibri"/>
          <w:b/>
        </w:rPr>
        <w:t>ukladatel</w:t>
      </w:r>
      <w:r w:rsidRPr="00D06F76">
        <w:rPr>
          <w:rFonts w:ascii="Calibri" w:hAnsi="Calibri"/>
        </w:rPr>
        <w:t>“)</w:t>
      </w:r>
      <w:r w:rsidR="00A33E92">
        <w:rPr>
          <w:rFonts w:ascii="Calibri" w:hAnsi="Calibri"/>
        </w:rPr>
        <w:t>;</w:t>
      </w:r>
    </w:p>
    <w:p w:rsidR="00D932A0" w:rsidRPr="00D06F76" w:rsidRDefault="00594B3A" w:rsidP="00201CFC">
      <w:pPr>
        <w:pStyle w:val="Zkladntextodsazen"/>
        <w:ind w:left="0"/>
        <w:rPr>
          <w:rFonts w:ascii="Calibri" w:hAnsi="Calibri"/>
          <w:color w:val="000000"/>
          <w:sz w:val="24"/>
        </w:rPr>
      </w:pPr>
      <w:r>
        <w:rPr>
          <w:rFonts w:ascii="Calibri" w:hAnsi="Calibri"/>
          <w:b/>
          <w:color w:val="000000"/>
          <w:sz w:val="24"/>
        </w:rPr>
        <w:t>u</w:t>
      </w:r>
      <w:r w:rsidR="000E4188">
        <w:rPr>
          <w:rFonts w:ascii="Calibri" w:hAnsi="Calibri"/>
          <w:b/>
          <w:color w:val="000000"/>
          <w:sz w:val="24"/>
        </w:rPr>
        <w:t xml:space="preserve">zavírají podle zákona </w:t>
      </w:r>
      <w:r w:rsidR="00D932A0" w:rsidRPr="00D06F76">
        <w:rPr>
          <w:rFonts w:ascii="Calibri" w:hAnsi="Calibri"/>
          <w:b/>
          <w:color w:val="000000"/>
          <w:sz w:val="24"/>
        </w:rPr>
        <w:t>č. 458/2000 Sb. (</w:t>
      </w:r>
      <w:r w:rsidR="000E4188">
        <w:rPr>
          <w:rFonts w:ascii="Calibri" w:hAnsi="Calibri"/>
          <w:b/>
          <w:color w:val="000000"/>
          <w:sz w:val="24"/>
        </w:rPr>
        <w:t>dále také „</w:t>
      </w:r>
      <w:r w:rsidR="00D932A0" w:rsidRPr="00D06F76">
        <w:rPr>
          <w:rFonts w:ascii="Calibri" w:hAnsi="Calibri"/>
          <w:b/>
          <w:color w:val="000000"/>
          <w:sz w:val="24"/>
        </w:rPr>
        <w:t>energetický zákon</w:t>
      </w:r>
      <w:r w:rsidR="000E4188">
        <w:rPr>
          <w:rFonts w:ascii="Calibri" w:hAnsi="Calibri"/>
          <w:b/>
          <w:color w:val="000000"/>
          <w:sz w:val="24"/>
        </w:rPr>
        <w:t>“</w:t>
      </w:r>
      <w:r w:rsidR="00D932A0" w:rsidRPr="00D06F76">
        <w:rPr>
          <w:rFonts w:ascii="Calibri" w:hAnsi="Calibri"/>
          <w:b/>
          <w:color w:val="000000"/>
          <w:sz w:val="24"/>
        </w:rPr>
        <w:t>) a příslušných prováděcích předpisů k energetickému zákonu, vše v pla</w:t>
      </w:r>
      <w:r w:rsidR="00D932A0">
        <w:rPr>
          <w:rFonts w:ascii="Calibri" w:hAnsi="Calibri"/>
          <w:b/>
          <w:color w:val="000000"/>
          <w:sz w:val="24"/>
        </w:rPr>
        <w:t xml:space="preserve">tném a účinném znění, tuto </w:t>
      </w:r>
      <w:r>
        <w:rPr>
          <w:rFonts w:ascii="Calibri" w:hAnsi="Calibri"/>
          <w:b/>
          <w:color w:val="000000"/>
          <w:sz w:val="24"/>
        </w:rPr>
        <w:t>s</w:t>
      </w:r>
      <w:r w:rsidR="00D932A0" w:rsidRPr="00D06F76">
        <w:rPr>
          <w:rFonts w:ascii="Calibri" w:hAnsi="Calibri"/>
          <w:b/>
          <w:color w:val="000000"/>
          <w:sz w:val="24"/>
        </w:rPr>
        <w:t xml:space="preserve">mlouvu o uskladňování plynu </w:t>
      </w:r>
      <w:r w:rsidR="00D932A0">
        <w:rPr>
          <w:rFonts w:ascii="Calibri" w:hAnsi="Calibri"/>
          <w:b/>
          <w:color w:val="000000"/>
          <w:sz w:val="24"/>
        </w:rPr>
        <w:t xml:space="preserve">pro rezervaci roční skladovací kapacity </w:t>
      </w:r>
      <w:r w:rsidR="00D932A0" w:rsidRPr="00D06F76">
        <w:rPr>
          <w:rFonts w:ascii="Calibri" w:hAnsi="Calibri"/>
          <w:b/>
          <w:color w:val="000000"/>
          <w:sz w:val="24"/>
        </w:rPr>
        <w:t>s pevným výkonem</w:t>
      </w:r>
      <w:r w:rsidR="0069097F">
        <w:rPr>
          <w:rFonts w:ascii="Calibri" w:hAnsi="Calibri"/>
          <w:b/>
          <w:color w:val="000000"/>
          <w:sz w:val="24"/>
        </w:rPr>
        <w:t xml:space="preserve"> </w:t>
      </w:r>
      <w:r w:rsidR="00D932A0" w:rsidRPr="00D06F76">
        <w:rPr>
          <w:rFonts w:ascii="Calibri" w:hAnsi="Calibri"/>
          <w:b/>
          <w:color w:val="000000"/>
          <w:sz w:val="24"/>
        </w:rPr>
        <w:t>(dále jen „Smlouva“)</w:t>
      </w:r>
    </w:p>
    <w:p w:rsidR="00D932A0" w:rsidRPr="00D06F76" w:rsidRDefault="00D932A0" w:rsidP="00201CFC">
      <w:pPr>
        <w:spacing w:before="240" w:line="276" w:lineRule="auto"/>
        <w:ind w:left="426" w:hanging="426"/>
        <w:jc w:val="center"/>
        <w:rPr>
          <w:rFonts w:ascii="Calibri" w:hAnsi="Calibri"/>
          <w:b/>
        </w:rPr>
      </w:pPr>
      <w:r w:rsidRPr="00D06F76">
        <w:rPr>
          <w:rFonts w:ascii="Calibri" w:hAnsi="Calibri"/>
          <w:b/>
        </w:rPr>
        <w:t>II. Předmět smlouvy</w:t>
      </w:r>
    </w:p>
    <w:p w:rsidR="00D932A0" w:rsidRPr="00D06F76" w:rsidRDefault="00D932A0" w:rsidP="00201CFC">
      <w:pPr>
        <w:widowControl/>
        <w:numPr>
          <w:ilvl w:val="0"/>
          <w:numId w:val="5"/>
        </w:numPr>
        <w:tabs>
          <w:tab w:val="clear" w:pos="720"/>
        </w:tabs>
        <w:overflowPunct/>
        <w:autoSpaceDE/>
        <w:autoSpaceDN/>
        <w:adjustRightInd/>
        <w:spacing w:before="60" w:after="60" w:line="276" w:lineRule="auto"/>
        <w:ind w:left="426" w:hanging="426"/>
        <w:textAlignment w:val="auto"/>
        <w:rPr>
          <w:rFonts w:ascii="Calibri" w:hAnsi="Calibri"/>
        </w:rPr>
      </w:pPr>
      <w:r w:rsidRPr="00D06F76">
        <w:rPr>
          <w:rFonts w:ascii="Calibri" w:hAnsi="Calibri"/>
        </w:rPr>
        <w:t xml:space="preserve">Předmětem této </w:t>
      </w:r>
      <w:r w:rsidR="00594B3A">
        <w:rPr>
          <w:rFonts w:ascii="Calibri" w:hAnsi="Calibri"/>
        </w:rPr>
        <w:t>S</w:t>
      </w:r>
      <w:r w:rsidRPr="00D06F76">
        <w:rPr>
          <w:rFonts w:ascii="Calibri" w:hAnsi="Calibri"/>
        </w:rPr>
        <w:t xml:space="preserve">mlouvy je v souladu s Řádem provozovatele zásobníku plynu skladovatele (dále jen „Řád“) závazek: </w:t>
      </w:r>
    </w:p>
    <w:p w:rsidR="00D932A0" w:rsidRPr="00D06F76" w:rsidRDefault="00D932A0" w:rsidP="00201CFC">
      <w:pPr>
        <w:widowControl/>
        <w:numPr>
          <w:ilvl w:val="0"/>
          <w:numId w:val="6"/>
        </w:numPr>
        <w:tabs>
          <w:tab w:val="clear" w:pos="283"/>
        </w:tabs>
        <w:overflowPunct/>
        <w:autoSpaceDE/>
        <w:autoSpaceDN/>
        <w:adjustRightInd/>
        <w:spacing w:before="60" w:after="60" w:line="276" w:lineRule="auto"/>
        <w:ind w:left="851" w:hanging="284"/>
        <w:textAlignment w:val="auto"/>
        <w:rPr>
          <w:rFonts w:ascii="Calibri" w:hAnsi="Calibri"/>
        </w:rPr>
      </w:pPr>
      <w:r w:rsidRPr="00D06F76">
        <w:rPr>
          <w:rFonts w:ascii="Calibri" w:hAnsi="Calibri"/>
        </w:rPr>
        <w:t>Skladovatele poskytnout řádně ukla</w:t>
      </w:r>
      <w:r>
        <w:rPr>
          <w:rFonts w:ascii="Calibri" w:hAnsi="Calibri"/>
        </w:rPr>
        <w:t>dateli službu usklad</w:t>
      </w:r>
      <w:r w:rsidR="00ED2397">
        <w:rPr>
          <w:rFonts w:ascii="Calibri" w:hAnsi="Calibri"/>
        </w:rPr>
        <w:t>ňová</w:t>
      </w:r>
      <w:r>
        <w:rPr>
          <w:rFonts w:ascii="Calibri" w:hAnsi="Calibri"/>
        </w:rPr>
        <w:t xml:space="preserve">ní </w:t>
      </w:r>
      <w:r w:rsidRPr="00D06F76">
        <w:rPr>
          <w:rFonts w:ascii="Calibri" w:hAnsi="Calibri"/>
        </w:rPr>
        <w:t>plynu, a to za podmínek dále uvedených v této Smlouvě a Řádu</w:t>
      </w:r>
      <w:r w:rsidR="0062124A">
        <w:rPr>
          <w:rFonts w:ascii="Calibri" w:hAnsi="Calibri"/>
        </w:rPr>
        <w:t>;</w:t>
      </w:r>
    </w:p>
    <w:p w:rsidR="00D932A0" w:rsidRPr="00D06F76" w:rsidRDefault="00D932A0" w:rsidP="00201CFC">
      <w:pPr>
        <w:pStyle w:val="Odstavecseseznamem"/>
        <w:numPr>
          <w:ilvl w:val="0"/>
          <w:numId w:val="6"/>
        </w:numPr>
        <w:tabs>
          <w:tab w:val="clear" w:pos="283"/>
          <w:tab w:val="left" w:pos="426"/>
        </w:tabs>
        <w:spacing w:before="60" w:after="60"/>
        <w:ind w:left="851" w:hanging="284"/>
        <w:contextualSpacing/>
        <w:jc w:val="both"/>
        <w:rPr>
          <w:rFonts w:cs="Times New Roman"/>
          <w:sz w:val="24"/>
          <w:szCs w:val="24"/>
        </w:rPr>
      </w:pPr>
      <w:r w:rsidRPr="00D06F76">
        <w:rPr>
          <w:rFonts w:cs="Times New Roman"/>
          <w:sz w:val="24"/>
          <w:szCs w:val="24"/>
        </w:rPr>
        <w:t xml:space="preserve">Ukladatele vytvořit podmínky pro řádné poskytnutí služby </w:t>
      </w:r>
      <w:r w:rsidR="00932CD3">
        <w:rPr>
          <w:rFonts w:cs="Times New Roman"/>
          <w:sz w:val="24"/>
          <w:szCs w:val="24"/>
        </w:rPr>
        <w:t>uskladňování</w:t>
      </w:r>
      <w:r w:rsidRPr="00D06F76">
        <w:rPr>
          <w:rFonts w:cs="Times New Roman"/>
          <w:sz w:val="24"/>
          <w:szCs w:val="24"/>
        </w:rPr>
        <w:t xml:space="preserve"> skladovatelem a zaplatit za službu </w:t>
      </w:r>
      <w:r w:rsidR="00932CD3">
        <w:rPr>
          <w:rFonts w:cs="Times New Roman"/>
          <w:sz w:val="24"/>
          <w:szCs w:val="24"/>
        </w:rPr>
        <w:t>uskladňování</w:t>
      </w:r>
      <w:r w:rsidRPr="00D06F76">
        <w:rPr>
          <w:rFonts w:cs="Times New Roman"/>
          <w:sz w:val="24"/>
          <w:szCs w:val="24"/>
        </w:rPr>
        <w:t xml:space="preserve"> celkovou cenu a to vše za podmínek dále uvedených v této Smlouvě a Řádu. </w:t>
      </w:r>
    </w:p>
    <w:p w:rsidR="00D932A0" w:rsidRPr="00D06F76" w:rsidRDefault="00D932A0" w:rsidP="00201CFC">
      <w:pPr>
        <w:widowControl/>
        <w:numPr>
          <w:ilvl w:val="0"/>
          <w:numId w:val="5"/>
        </w:numPr>
        <w:tabs>
          <w:tab w:val="clear" w:pos="720"/>
          <w:tab w:val="num" w:pos="0"/>
          <w:tab w:val="num" w:pos="426"/>
        </w:tabs>
        <w:overflowPunct/>
        <w:autoSpaceDE/>
        <w:autoSpaceDN/>
        <w:adjustRightInd/>
        <w:spacing w:before="60" w:after="60" w:line="276" w:lineRule="auto"/>
        <w:ind w:left="426" w:hanging="426"/>
        <w:textAlignment w:val="auto"/>
        <w:rPr>
          <w:rFonts w:ascii="Calibri" w:hAnsi="Calibri"/>
        </w:rPr>
      </w:pPr>
      <w:r w:rsidRPr="00D06F76">
        <w:rPr>
          <w:rFonts w:ascii="Calibri" w:hAnsi="Calibri"/>
        </w:rPr>
        <w:t xml:space="preserve">Smluvní strany se zavazují při plnění této Smlouvy zároveň dodržovat ustanovení Řádu, která jsou  platná a účinná k datu uzavření Smlouvy ukladatelem, včetně ustanovení Řádu později změněných skladovatelem z důvodů vyvolaných změnou obecně závazných právních předpisů </w:t>
      </w:r>
      <w:r w:rsidRPr="00D06F76">
        <w:rPr>
          <w:rFonts w:ascii="Calibri" w:hAnsi="Calibri"/>
        </w:rPr>
        <w:lastRenderedPageBreak/>
        <w:t>nebo rozhodnutím příslušného orgánu státní správy. Ukladatel prohlašuje, že se dostatečně seznámil se zněním Řádu platným a účinným k datu uzavření Smlouvy a má jej k dispozici.</w:t>
      </w:r>
    </w:p>
    <w:p w:rsidR="00D932A0" w:rsidRPr="00D06F76" w:rsidRDefault="00D932A0" w:rsidP="00201CFC">
      <w:pPr>
        <w:widowControl/>
        <w:numPr>
          <w:ilvl w:val="0"/>
          <w:numId w:val="5"/>
        </w:numPr>
        <w:tabs>
          <w:tab w:val="clear" w:pos="720"/>
          <w:tab w:val="num" w:pos="0"/>
          <w:tab w:val="num" w:pos="426"/>
        </w:tabs>
        <w:overflowPunct/>
        <w:autoSpaceDE/>
        <w:autoSpaceDN/>
        <w:adjustRightInd/>
        <w:spacing w:before="60" w:after="60" w:line="276" w:lineRule="auto"/>
        <w:ind w:left="426" w:hanging="426"/>
        <w:textAlignment w:val="auto"/>
        <w:rPr>
          <w:rFonts w:ascii="Calibri" w:hAnsi="Calibri"/>
        </w:rPr>
      </w:pPr>
      <w:r w:rsidRPr="00D06F76">
        <w:rPr>
          <w:rFonts w:ascii="Calibri" w:hAnsi="Calibri"/>
        </w:rPr>
        <w:t>Pokud budou prováděny změny Řádu (v souladu s předchozím bodem) bude pro postup smluvních stran rozhodující znění, které je účinné v době, kdy je plnění prováděno a v případě prodlení s plněním v</w:t>
      </w:r>
      <w:r>
        <w:rPr>
          <w:rFonts w:ascii="Calibri" w:hAnsi="Calibri"/>
        </w:rPr>
        <w:t xml:space="preserve"> </w:t>
      </w:r>
      <w:r w:rsidRPr="00D06F76">
        <w:rPr>
          <w:rFonts w:ascii="Calibri" w:hAnsi="Calibri"/>
        </w:rPr>
        <w:t>den</w:t>
      </w:r>
      <w:r>
        <w:rPr>
          <w:rFonts w:ascii="Calibri" w:hAnsi="Calibri"/>
        </w:rPr>
        <w:t>,</w:t>
      </w:r>
      <w:r w:rsidRPr="00D06F76">
        <w:rPr>
          <w:rFonts w:ascii="Calibri" w:hAnsi="Calibri"/>
        </w:rPr>
        <w:t xml:space="preserve"> kdy plnění mělo být provedeno. V případě rozporu znění Řádu a této Smlouvy mají přednost ustanovení uvedená v této Smlouvě.</w:t>
      </w:r>
    </w:p>
    <w:p w:rsidR="00D932A0" w:rsidRPr="001A510A" w:rsidRDefault="00D932A0" w:rsidP="001A510A">
      <w:pPr>
        <w:widowControl/>
        <w:numPr>
          <w:ilvl w:val="0"/>
          <w:numId w:val="5"/>
        </w:numPr>
        <w:tabs>
          <w:tab w:val="clear" w:pos="720"/>
          <w:tab w:val="num" w:pos="0"/>
          <w:tab w:val="num" w:pos="426"/>
        </w:tabs>
        <w:overflowPunct/>
        <w:autoSpaceDE/>
        <w:autoSpaceDN/>
        <w:adjustRightInd/>
        <w:spacing w:before="60" w:after="60" w:line="276" w:lineRule="auto"/>
        <w:ind w:left="426" w:hanging="426"/>
        <w:textAlignment w:val="auto"/>
        <w:rPr>
          <w:rFonts w:ascii="Calibri" w:hAnsi="Calibri"/>
        </w:rPr>
      </w:pPr>
      <w:r w:rsidRPr="00D06F76">
        <w:rPr>
          <w:rFonts w:ascii="Calibri" w:hAnsi="Calibri"/>
        </w:rPr>
        <w:t>O změně Řádu případně dalších smluvních podmínek bude ukladatel vyrozuměn způsobem uvedeným v</w:t>
      </w:r>
      <w:r w:rsidR="00210A71">
        <w:rPr>
          <w:rFonts w:ascii="Calibri" w:hAnsi="Calibri"/>
        </w:rPr>
        <w:t> </w:t>
      </w:r>
      <w:r w:rsidRPr="00D06F76">
        <w:rPr>
          <w:rFonts w:ascii="Calibri" w:hAnsi="Calibri"/>
        </w:rPr>
        <w:t>Řádu</w:t>
      </w:r>
      <w:r w:rsidR="00210A71">
        <w:rPr>
          <w:rFonts w:ascii="Calibri" w:hAnsi="Calibri"/>
        </w:rPr>
        <w:t xml:space="preserve"> resp</w:t>
      </w:r>
      <w:r w:rsidR="00CB38E3">
        <w:rPr>
          <w:rFonts w:ascii="Calibri" w:hAnsi="Calibri"/>
        </w:rPr>
        <w:t>.</w:t>
      </w:r>
      <w:r w:rsidR="00210A71">
        <w:rPr>
          <w:rFonts w:ascii="Calibri" w:hAnsi="Calibri"/>
        </w:rPr>
        <w:t xml:space="preserve"> uvedených v obecně platných právních předpisech, zejména pak v energetickém zákoně</w:t>
      </w:r>
      <w:r w:rsidRPr="00D06F76">
        <w:rPr>
          <w:rFonts w:ascii="Calibri" w:hAnsi="Calibri"/>
        </w:rPr>
        <w:t>.</w:t>
      </w:r>
      <w:r w:rsidR="004E1575" w:rsidRPr="001A510A">
        <w:rPr>
          <w:rFonts w:ascii="Calibri" w:hAnsi="Calibri"/>
        </w:rPr>
        <w:t xml:space="preserve"> </w:t>
      </w:r>
    </w:p>
    <w:p w:rsidR="00D932A0" w:rsidRPr="00D06F76" w:rsidRDefault="00D932A0" w:rsidP="00201CFC">
      <w:pPr>
        <w:spacing w:before="240" w:line="276" w:lineRule="auto"/>
        <w:ind w:left="426" w:hanging="426"/>
        <w:jc w:val="center"/>
        <w:rPr>
          <w:rFonts w:ascii="Calibri" w:hAnsi="Calibri"/>
          <w:b/>
        </w:rPr>
      </w:pPr>
      <w:r w:rsidRPr="00D06F76">
        <w:rPr>
          <w:rFonts w:ascii="Calibri" w:hAnsi="Calibri"/>
          <w:b/>
        </w:rPr>
        <w:t>III. Skladovací kapacity</w:t>
      </w:r>
    </w:p>
    <w:p w:rsidR="00D932A0" w:rsidRDefault="00D932A0" w:rsidP="00201CFC">
      <w:pPr>
        <w:widowControl/>
        <w:numPr>
          <w:ilvl w:val="0"/>
          <w:numId w:val="7"/>
        </w:numPr>
        <w:tabs>
          <w:tab w:val="clear" w:pos="720"/>
        </w:tabs>
        <w:overflowPunct/>
        <w:autoSpaceDE/>
        <w:autoSpaceDN/>
        <w:adjustRightInd/>
        <w:spacing w:before="60" w:after="60" w:line="276" w:lineRule="auto"/>
        <w:ind w:left="426" w:hanging="426"/>
        <w:textAlignment w:val="auto"/>
        <w:rPr>
          <w:rFonts w:ascii="Calibri" w:hAnsi="Calibri"/>
        </w:rPr>
      </w:pPr>
      <w:r w:rsidRPr="00D06F76">
        <w:rPr>
          <w:rFonts w:ascii="Calibri" w:hAnsi="Calibri"/>
        </w:rPr>
        <w:t>Skladovatel se po celou dobu účinnosti Smlouvy zavazuje poskytovat ukla</w:t>
      </w:r>
      <w:r w:rsidR="0069097F">
        <w:rPr>
          <w:rFonts w:ascii="Calibri" w:hAnsi="Calibri"/>
        </w:rPr>
        <w:t>dateli v rámci služby uskladňování</w:t>
      </w:r>
      <w:r w:rsidRPr="00D06F76">
        <w:rPr>
          <w:rFonts w:ascii="Calibri" w:hAnsi="Calibri"/>
        </w:rPr>
        <w:t xml:space="preserve"> následující skladovací kapacity upravované podle vtláčecí křivky a těžební křivky, které jsou vázané na množství uskladněného plynu ukladatelem (vyznačeno na účtu ukladatele) a s omezeními uvedenými v této Smlouvě, Řádu a obecně závazných právních předpisech.</w:t>
      </w:r>
    </w:p>
    <w:p w:rsidR="00D932A0" w:rsidRPr="00D06F76" w:rsidRDefault="00D932A0" w:rsidP="00201CFC">
      <w:pPr>
        <w:spacing w:line="276" w:lineRule="auto"/>
        <w:ind w:left="426"/>
        <w:rPr>
          <w:rFonts w:ascii="Calibri" w:hAnsi="Calibri"/>
        </w:rPr>
      </w:pPr>
      <w:r w:rsidRPr="00D06F76">
        <w:rPr>
          <w:rFonts w:ascii="Calibri" w:hAnsi="Calibri"/>
        </w:rPr>
        <w:t xml:space="preserve">Denní maximální těžební výkon: </w:t>
      </w:r>
      <w:r w:rsidR="0069097F">
        <w:rPr>
          <w:rFonts w:ascii="Calibri" w:hAnsi="Calibri"/>
        </w:rPr>
        <w:tab/>
      </w:r>
      <w:r w:rsidR="00A33E92">
        <w:rPr>
          <w:rFonts w:ascii="Calibri" w:hAnsi="Calibri"/>
        </w:rPr>
        <w:t xml:space="preserve">[●]    </w:t>
      </w:r>
      <w:r w:rsidR="0069097F">
        <w:rPr>
          <w:rFonts w:ascii="Calibri" w:hAnsi="Calibri"/>
        </w:rPr>
        <w:tab/>
      </w:r>
      <w:r w:rsidRPr="00D06F76">
        <w:rPr>
          <w:rFonts w:ascii="Calibri" w:hAnsi="Calibri"/>
        </w:rPr>
        <w:t xml:space="preserve"> </w:t>
      </w:r>
      <w:r w:rsidR="00D17EB6">
        <w:rPr>
          <w:rFonts w:ascii="Calibri" w:hAnsi="Calibri"/>
        </w:rPr>
        <w:t>kWh</w:t>
      </w:r>
      <w:r w:rsidRPr="00D06F76">
        <w:rPr>
          <w:rFonts w:ascii="Calibri" w:hAnsi="Calibri"/>
          <w:vertAlign w:val="superscript"/>
        </w:rPr>
        <w:t xml:space="preserve"> </w:t>
      </w:r>
      <w:r w:rsidRPr="00D06F76">
        <w:rPr>
          <w:rFonts w:ascii="Calibri" w:hAnsi="Calibri"/>
        </w:rPr>
        <w:t>/den</w:t>
      </w:r>
    </w:p>
    <w:p w:rsidR="00D932A0" w:rsidRPr="00D06F76" w:rsidRDefault="00D932A0" w:rsidP="00201CFC">
      <w:pPr>
        <w:spacing w:line="276" w:lineRule="auto"/>
        <w:ind w:left="426"/>
        <w:rPr>
          <w:rFonts w:ascii="Calibri" w:hAnsi="Calibri"/>
        </w:rPr>
      </w:pPr>
      <w:r w:rsidRPr="00D06F76">
        <w:rPr>
          <w:rFonts w:ascii="Calibri" w:hAnsi="Calibri"/>
        </w:rPr>
        <w:t xml:space="preserve">Denní maximální vtláčecí výkon: </w:t>
      </w:r>
      <w:r w:rsidR="0069097F">
        <w:rPr>
          <w:rFonts w:ascii="Calibri" w:hAnsi="Calibri"/>
        </w:rPr>
        <w:tab/>
      </w:r>
      <w:r w:rsidR="00A33E92">
        <w:rPr>
          <w:rFonts w:ascii="Calibri" w:hAnsi="Calibri"/>
        </w:rPr>
        <w:t>[●]</w:t>
      </w:r>
      <w:r w:rsidR="0069097F">
        <w:rPr>
          <w:rFonts w:ascii="Calibri" w:hAnsi="Calibri"/>
        </w:rPr>
        <w:tab/>
      </w:r>
      <w:r w:rsidRPr="00D06F76">
        <w:rPr>
          <w:rFonts w:ascii="Calibri" w:hAnsi="Calibri"/>
        </w:rPr>
        <w:t xml:space="preserve"> </w:t>
      </w:r>
      <w:r w:rsidR="00D17EB6">
        <w:rPr>
          <w:rFonts w:ascii="Calibri" w:hAnsi="Calibri"/>
        </w:rPr>
        <w:t xml:space="preserve">kWh </w:t>
      </w:r>
      <w:r w:rsidRPr="00D06F76">
        <w:rPr>
          <w:rFonts w:ascii="Calibri" w:hAnsi="Calibri"/>
        </w:rPr>
        <w:t>/den</w:t>
      </w:r>
    </w:p>
    <w:p w:rsidR="00D932A0" w:rsidRPr="0069097F" w:rsidRDefault="00D932A0" w:rsidP="00201CFC">
      <w:pPr>
        <w:spacing w:line="276" w:lineRule="auto"/>
        <w:ind w:left="426"/>
        <w:rPr>
          <w:rFonts w:ascii="Calibri" w:hAnsi="Calibri"/>
          <w:vertAlign w:val="superscript"/>
        </w:rPr>
      </w:pPr>
      <w:r w:rsidRPr="00D06F76">
        <w:rPr>
          <w:rFonts w:ascii="Calibri" w:hAnsi="Calibri"/>
        </w:rPr>
        <w:t xml:space="preserve">Provozní objem Po: </w:t>
      </w:r>
      <w:r w:rsidR="0069097F">
        <w:rPr>
          <w:rFonts w:ascii="Calibri" w:hAnsi="Calibri"/>
        </w:rPr>
        <w:tab/>
      </w:r>
      <w:r w:rsidR="0069097F">
        <w:rPr>
          <w:rFonts w:ascii="Calibri" w:hAnsi="Calibri"/>
        </w:rPr>
        <w:tab/>
      </w:r>
      <w:r w:rsidR="0069097F">
        <w:rPr>
          <w:rFonts w:ascii="Calibri" w:hAnsi="Calibri"/>
        </w:rPr>
        <w:tab/>
      </w:r>
      <w:r w:rsidR="00A33E92">
        <w:rPr>
          <w:rFonts w:ascii="Calibri" w:hAnsi="Calibri"/>
        </w:rPr>
        <w:t>[●]</w:t>
      </w:r>
      <w:r w:rsidR="0037140F">
        <w:rPr>
          <w:rFonts w:ascii="Calibri" w:hAnsi="Calibri"/>
        </w:rPr>
        <w:tab/>
      </w:r>
      <w:r w:rsidR="00A33E92">
        <w:rPr>
          <w:rFonts w:ascii="Calibri" w:hAnsi="Calibri"/>
        </w:rPr>
        <w:t xml:space="preserve"> </w:t>
      </w:r>
      <w:r w:rsidRPr="00D06F76">
        <w:rPr>
          <w:rFonts w:ascii="Calibri" w:hAnsi="Calibri"/>
        </w:rPr>
        <w:t>m</w:t>
      </w:r>
      <w:r w:rsidRPr="00D06F76">
        <w:rPr>
          <w:rFonts w:ascii="Calibri" w:hAnsi="Calibri"/>
          <w:vertAlign w:val="superscript"/>
        </w:rPr>
        <w:t>3</w:t>
      </w:r>
    </w:p>
    <w:p w:rsidR="00D932A0" w:rsidRDefault="00D932A0" w:rsidP="00201CFC">
      <w:pPr>
        <w:widowControl/>
        <w:numPr>
          <w:ilvl w:val="0"/>
          <w:numId w:val="7"/>
        </w:numPr>
        <w:overflowPunct/>
        <w:autoSpaceDE/>
        <w:autoSpaceDN/>
        <w:adjustRightInd/>
        <w:spacing w:before="60" w:after="60" w:line="276" w:lineRule="auto"/>
        <w:ind w:left="426" w:hanging="426"/>
        <w:textAlignment w:val="auto"/>
        <w:rPr>
          <w:rFonts w:ascii="Calibri" w:hAnsi="Calibri"/>
        </w:rPr>
      </w:pPr>
      <w:r w:rsidRPr="00D06F76">
        <w:rPr>
          <w:rFonts w:ascii="Calibri" w:hAnsi="Calibri"/>
        </w:rPr>
        <w:t xml:space="preserve">Vtláčecí a těžební křivka je uvedena v Příloze č. 1, která je nedílnou součástí této Smlouvy. </w:t>
      </w:r>
    </w:p>
    <w:p w:rsidR="00D932A0" w:rsidRPr="00D06F76" w:rsidRDefault="00D932A0" w:rsidP="00201CFC">
      <w:pPr>
        <w:spacing w:before="240" w:line="276" w:lineRule="auto"/>
        <w:ind w:left="426" w:hanging="426"/>
        <w:jc w:val="center"/>
        <w:rPr>
          <w:rFonts w:ascii="Calibri" w:hAnsi="Calibri"/>
          <w:b/>
        </w:rPr>
      </w:pPr>
      <w:r w:rsidRPr="00D06F76">
        <w:rPr>
          <w:rFonts w:ascii="Calibri" w:hAnsi="Calibri"/>
          <w:b/>
        </w:rPr>
        <w:t>IV. Cena za skladování</w:t>
      </w:r>
    </w:p>
    <w:p w:rsidR="00C74A0A" w:rsidRPr="00263C38" w:rsidRDefault="0071554C" w:rsidP="00637D86">
      <w:pPr>
        <w:pStyle w:val="Odstavecseseznamem"/>
        <w:numPr>
          <w:ilvl w:val="0"/>
          <w:numId w:val="20"/>
        </w:numPr>
        <w:tabs>
          <w:tab w:val="clear" w:pos="720"/>
        </w:tabs>
        <w:spacing w:before="60" w:after="60"/>
        <w:ind w:left="426" w:hanging="426"/>
        <w:rPr>
          <w:rFonts w:asciiTheme="minorHAnsi" w:hAnsiTheme="minorHAnsi"/>
          <w:sz w:val="24"/>
        </w:rPr>
      </w:pPr>
      <w:r w:rsidRPr="00263C38">
        <w:rPr>
          <w:rFonts w:asciiTheme="minorHAnsi" w:hAnsiTheme="minorHAnsi"/>
          <w:sz w:val="24"/>
        </w:rPr>
        <w:t>Celková cena za službu uskladňování se skládá z ceny za uskladňování plynu, která zahrnuje i cenu za technologický plyn, a z ceny za činnosti související s uskladňováním plynu</w:t>
      </w:r>
      <w:r w:rsidR="00AB56CF" w:rsidRPr="00263C38">
        <w:rPr>
          <w:rFonts w:asciiTheme="minorHAnsi" w:hAnsiTheme="minorHAnsi"/>
          <w:sz w:val="24"/>
        </w:rPr>
        <w:t>,</w:t>
      </w:r>
      <w:r w:rsidRPr="00263C38">
        <w:rPr>
          <w:rFonts w:asciiTheme="minorHAnsi" w:hAnsiTheme="minorHAnsi"/>
          <w:sz w:val="24"/>
        </w:rPr>
        <w:t xml:space="preserve"> kde:</w:t>
      </w:r>
    </w:p>
    <w:p w:rsidR="00C74A0A" w:rsidRPr="00637D86" w:rsidRDefault="00C74A0A" w:rsidP="00637D86">
      <w:pPr>
        <w:pStyle w:val="Odstavecseseznamem"/>
        <w:numPr>
          <w:ilvl w:val="0"/>
          <w:numId w:val="21"/>
        </w:numPr>
        <w:spacing w:before="60" w:after="60"/>
        <w:ind w:left="851" w:hanging="284"/>
        <w:rPr>
          <w:rFonts w:asciiTheme="minorHAnsi" w:hAnsiTheme="minorHAnsi"/>
          <w:b/>
        </w:rPr>
      </w:pPr>
      <w:r w:rsidRPr="00637D86">
        <w:rPr>
          <w:rFonts w:asciiTheme="minorHAnsi" w:hAnsiTheme="minorHAnsi"/>
          <w:b/>
        </w:rPr>
        <w:t xml:space="preserve">Cena za </w:t>
      </w:r>
      <w:r w:rsidR="00932CD3" w:rsidRPr="00637D86">
        <w:rPr>
          <w:rFonts w:asciiTheme="minorHAnsi" w:hAnsiTheme="minorHAnsi"/>
          <w:b/>
        </w:rPr>
        <w:t>uskladňování</w:t>
      </w:r>
      <w:r w:rsidRPr="00637D86">
        <w:rPr>
          <w:rFonts w:asciiTheme="minorHAnsi" w:hAnsiTheme="minorHAnsi"/>
          <w:b/>
        </w:rPr>
        <w:t xml:space="preserve"> plynu</w:t>
      </w:r>
    </w:p>
    <w:p w:rsidR="00C74A0A" w:rsidRPr="00C74A0A" w:rsidRDefault="00C74A0A" w:rsidP="00201CFC">
      <w:pPr>
        <w:pStyle w:val="Odstavecseseznamem"/>
        <w:spacing w:before="120" w:after="60"/>
        <w:ind w:left="851"/>
        <w:jc w:val="both"/>
        <w:rPr>
          <w:rFonts w:asciiTheme="minorHAnsi" w:hAnsiTheme="minorHAnsi" w:cstheme="minorHAnsi"/>
          <w:sz w:val="24"/>
          <w:szCs w:val="24"/>
        </w:rPr>
      </w:pPr>
      <w:r w:rsidRPr="00C74A0A">
        <w:rPr>
          <w:rFonts w:asciiTheme="minorHAnsi" w:hAnsiTheme="minorHAnsi" w:cstheme="minorHAnsi"/>
          <w:sz w:val="24"/>
          <w:szCs w:val="24"/>
        </w:rPr>
        <w:t xml:space="preserve">Roční jednotková cena za </w:t>
      </w:r>
      <w:r w:rsidR="00932CD3">
        <w:rPr>
          <w:rFonts w:asciiTheme="minorHAnsi" w:hAnsiTheme="minorHAnsi" w:cstheme="minorHAnsi"/>
          <w:sz w:val="24"/>
          <w:szCs w:val="24"/>
        </w:rPr>
        <w:t>uskladňování</w:t>
      </w:r>
      <w:r w:rsidRPr="00C74A0A">
        <w:rPr>
          <w:rFonts w:asciiTheme="minorHAnsi" w:hAnsiTheme="minorHAnsi" w:cstheme="minorHAnsi"/>
          <w:sz w:val="24"/>
          <w:szCs w:val="24"/>
        </w:rPr>
        <w:t xml:space="preserve"> zemního plynu stanovená na základě výsledků aukce pořádané</w:t>
      </w:r>
      <w:r w:rsidR="00603D27">
        <w:rPr>
          <w:rFonts w:asciiTheme="minorHAnsi" w:hAnsiTheme="minorHAnsi" w:cstheme="minorHAnsi"/>
          <w:sz w:val="24"/>
          <w:szCs w:val="24"/>
        </w:rPr>
        <w:t>/ukončené</w:t>
      </w:r>
      <w:r w:rsidRPr="00C74A0A">
        <w:rPr>
          <w:rFonts w:asciiTheme="minorHAnsi" w:hAnsiTheme="minorHAnsi" w:cstheme="minorHAnsi"/>
          <w:sz w:val="24"/>
          <w:szCs w:val="24"/>
        </w:rPr>
        <w:t xml:space="preserve"> dne </w:t>
      </w:r>
      <w:r w:rsidR="00A33E92">
        <w:t>[●]</w:t>
      </w:r>
      <w:r w:rsidR="0071554C">
        <w:t xml:space="preserve"> </w:t>
      </w:r>
      <w:r w:rsidRPr="00C74A0A">
        <w:rPr>
          <w:rFonts w:asciiTheme="minorHAnsi" w:hAnsiTheme="minorHAnsi" w:cstheme="minorHAnsi"/>
          <w:sz w:val="24"/>
          <w:szCs w:val="24"/>
        </w:rPr>
        <w:t>je</w:t>
      </w:r>
      <w:r w:rsidR="0071554C">
        <w:rPr>
          <w:rFonts w:asciiTheme="minorHAnsi" w:hAnsiTheme="minorHAnsi" w:cstheme="minorHAnsi"/>
          <w:sz w:val="24"/>
          <w:szCs w:val="24"/>
        </w:rPr>
        <w:t xml:space="preserve"> stanovena </w:t>
      </w:r>
      <w:r w:rsidRPr="00C74A0A">
        <w:rPr>
          <w:rFonts w:asciiTheme="minorHAnsi" w:hAnsiTheme="minorHAnsi" w:cstheme="minorHAnsi"/>
          <w:sz w:val="24"/>
          <w:szCs w:val="24"/>
        </w:rPr>
        <w:t xml:space="preserve">ve výši </w:t>
      </w:r>
      <w:r w:rsidR="00A33E92">
        <w:t>[●]</w:t>
      </w:r>
      <w:r w:rsidR="0071554C">
        <w:t xml:space="preserve"> </w:t>
      </w:r>
      <w:r w:rsidRPr="00C74A0A">
        <w:rPr>
          <w:rFonts w:asciiTheme="minorHAnsi" w:hAnsiTheme="minorHAnsi" w:cstheme="minorHAnsi"/>
          <w:sz w:val="24"/>
          <w:szCs w:val="24"/>
        </w:rPr>
        <w:t>Kč/ m</w:t>
      </w:r>
      <w:r w:rsidRPr="00C74A0A">
        <w:rPr>
          <w:rFonts w:asciiTheme="minorHAnsi" w:hAnsiTheme="minorHAnsi" w:cstheme="minorHAnsi"/>
          <w:sz w:val="24"/>
          <w:szCs w:val="24"/>
          <w:vertAlign w:val="superscript"/>
        </w:rPr>
        <w:t xml:space="preserve">3 </w:t>
      </w:r>
      <w:r w:rsidRPr="00C74A0A">
        <w:rPr>
          <w:rFonts w:asciiTheme="minorHAnsi" w:hAnsiTheme="minorHAnsi" w:cstheme="minorHAnsi"/>
          <w:sz w:val="24"/>
          <w:szCs w:val="24"/>
        </w:rPr>
        <w:t xml:space="preserve">provozního objemu (cena určená v aukci). </w:t>
      </w:r>
    </w:p>
    <w:p w:rsidR="00C74A0A" w:rsidRPr="00C74A0A" w:rsidRDefault="0071554C" w:rsidP="00201CFC">
      <w:pPr>
        <w:pStyle w:val="Odstavecseseznamem"/>
        <w:spacing w:before="60" w:after="60"/>
        <w:ind w:left="851"/>
        <w:contextualSpacing/>
        <w:jc w:val="both"/>
        <w:rPr>
          <w:rFonts w:asciiTheme="minorHAnsi" w:hAnsiTheme="minorHAnsi" w:cstheme="minorHAnsi"/>
          <w:sz w:val="24"/>
          <w:szCs w:val="24"/>
        </w:rPr>
      </w:pPr>
      <w:r>
        <w:rPr>
          <w:rFonts w:asciiTheme="minorHAnsi" w:hAnsiTheme="minorHAnsi" w:cstheme="minorHAnsi"/>
          <w:sz w:val="24"/>
          <w:szCs w:val="24"/>
        </w:rPr>
        <w:t>P</w:t>
      </w:r>
      <w:r w:rsidR="00C74A0A" w:rsidRPr="00C74A0A">
        <w:rPr>
          <w:rFonts w:asciiTheme="minorHAnsi" w:hAnsiTheme="minorHAnsi" w:cstheme="minorHAnsi"/>
          <w:sz w:val="24"/>
          <w:szCs w:val="24"/>
        </w:rPr>
        <w:t xml:space="preserve">ro </w:t>
      </w:r>
      <w:r w:rsidR="000F5610">
        <w:rPr>
          <w:rFonts w:asciiTheme="minorHAnsi" w:hAnsiTheme="minorHAnsi" w:cstheme="minorHAnsi"/>
          <w:sz w:val="24"/>
          <w:szCs w:val="24"/>
        </w:rPr>
        <w:t>2</w:t>
      </w:r>
      <w:r w:rsidR="00C74A0A" w:rsidRPr="00C74A0A">
        <w:rPr>
          <w:rFonts w:asciiTheme="minorHAnsi" w:hAnsiTheme="minorHAnsi" w:cstheme="minorHAnsi"/>
          <w:sz w:val="24"/>
          <w:szCs w:val="24"/>
        </w:rPr>
        <w:t xml:space="preserve">. a následující skladovací roky trvání Smlouvy bude v měsíci </w:t>
      </w:r>
      <w:r w:rsidR="006B7322">
        <w:rPr>
          <w:rFonts w:asciiTheme="minorHAnsi" w:hAnsiTheme="minorHAnsi" w:cstheme="minorHAnsi"/>
          <w:sz w:val="24"/>
          <w:szCs w:val="24"/>
        </w:rPr>
        <w:t>dubnu</w:t>
      </w:r>
      <w:r w:rsidR="006B7322" w:rsidRPr="00C74A0A">
        <w:rPr>
          <w:rFonts w:asciiTheme="minorHAnsi" w:hAnsiTheme="minorHAnsi" w:cstheme="minorHAnsi"/>
          <w:sz w:val="24"/>
          <w:szCs w:val="24"/>
        </w:rPr>
        <w:t xml:space="preserve"> </w:t>
      </w:r>
      <w:r w:rsidR="00C74A0A" w:rsidRPr="00C74A0A">
        <w:rPr>
          <w:rFonts w:asciiTheme="minorHAnsi" w:hAnsiTheme="minorHAnsi" w:cstheme="minorHAnsi"/>
          <w:sz w:val="24"/>
          <w:szCs w:val="24"/>
        </w:rPr>
        <w:t xml:space="preserve">probíhajícího smluvního roku stanovována </w:t>
      </w:r>
      <w:r w:rsidR="000F5610">
        <w:rPr>
          <w:rFonts w:asciiTheme="minorHAnsi" w:hAnsiTheme="minorHAnsi" w:cstheme="minorHAnsi"/>
          <w:sz w:val="24"/>
          <w:szCs w:val="24"/>
        </w:rPr>
        <w:t xml:space="preserve">cena </w:t>
      </w:r>
      <w:r w:rsidR="00C74A0A" w:rsidRPr="00C74A0A">
        <w:rPr>
          <w:rFonts w:asciiTheme="minorHAnsi" w:hAnsiTheme="minorHAnsi" w:cstheme="minorHAnsi"/>
          <w:sz w:val="24"/>
          <w:szCs w:val="24"/>
        </w:rPr>
        <w:t>podle následujícího valorizačního vzorce:</w:t>
      </w:r>
    </w:p>
    <w:p w:rsidR="00C74A0A" w:rsidRPr="00C74A0A" w:rsidRDefault="00C74A0A" w:rsidP="00201CFC">
      <w:pPr>
        <w:tabs>
          <w:tab w:val="left" w:pos="426"/>
        </w:tabs>
        <w:spacing w:before="120" w:after="120" w:line="276" w:lineRule="auto"/>
        <w:ind w:left="426" w:hanging="426"/>
        <w:jc w:val="center"/>
        <w:rPr>
          <w:rFonts w:asciiTheme="minorHAnsi" w:hAnsiTheme="minorHAnsi" w:cstheme="minorHAnsi"/>
          <w:b/>
          <w:szCs w:val="24"/>
        </w:rPr>
      </w:pPr>
      <w:r w:rsidRPr="00C74A0A">
        <w:rPr>
          <w:rFonts w:asciiTheme="minorHAnsi" w:hAnsiTheme="minorHAnsi" w:cstheme="minorHAnsi"/>
          <w:b/>
          <w:szCs w:val="24"/>
        </w:rPr>
        <w:t>JC</w:t>
      </w:r>
      <w:r w:rsidR="005F1437" w:rsidRPr="005F1437">
        <w:rPr>
          <w:rFonts w:asciiTheme="minorHAnsi" w:hAnsiTheme="minorHAnsi" w:cstheme="minorHAnsi"/>
          <w:b/>
          <w:szCs w:val="24"/>
          <w:vertAlign w:val="subscript"/>
        </w:rPr>
        <w:t>n</w:t>
      </w:r>
      <w:r w:rsidRPr="00C74A0A">
        <w:rPr>
          <w:rFonts w:asciiTheme="minorHAnsi" w:hAnsiTheme="minorHAnsi" w:cstheme="minorHAnsi"/>
          <w:b/>
          <w:szCs w:val="24"/>
          <w:vertAlign w:val="subscript"/>
        </w:rPr>
        <w:t>r</w:t>
      </w:r>
      <w:r w:rsidRPr="00C74A0A">
        <w:rPr>
          <w:rFonts w:asciiTheme="minorHAnsi" w:hAnsiTheme="minorHAnsi" w:cstheme="minorHAnsi"/>
          <w:b/>
          <w:szCs w:val="24"/>
        </w:rPr>
        <w:t xml:space="preserve"> = JC</w:t>
      </w:r>
      <w:r w:rsidR="005F1437" w:rsidRPr="005F1437">
        <w:rPr>
          <w:rFonts w:asciiTheme="minorHAnsi" w:hAnsiTheme="minorHAnsi" w:cstheme="minorHAnsi"/>
          <w:b/>
          <w:szCs w:val="24"/>
          <w:vertAlign w:val="subscript"/>
        </w:rPr>
        <w:t>n</w:t>
      </w:r>
      <w:r w:rsidRPr="00C74A0A">
        <w:rPr>
          <w:rFonts w:asciiTheme="minorHAnsi" w:hAnsiTheme="minorHAnsi" w:cstheme="minorHAnsi"/>
          <w:b/>
          <w:szCs w:val="24"/>
          <w:vertAlign w:val="subscript"/>
        </w:rPr>
        <w:t>r-1</w:t>
      </w:r>
      <w:r w:rsidRPr="00C74A0A">
        <w:rPr>
          <w:rFonts w:asciiTheme="minorHAnsi" w:hAnsiTheme="minorHAnsi" w:cstheme="minorHAnsi"/>
          <w:b/>
          <w:szCs w:val="24"/>
        </w:rPr>
        <w:t xml:space="preserve"> x (0,85 x PPI + 0,15 x CPI)</w:t>
      </w:r>
    </w:p>
    <w:p w:rsidR="00C74A0A" w:rsidRPr="00C74A0A" w:rsidRDefault="00C74A0A" w:rsidP="00201CFC">
      <w:pPr>
        <w:spacing w:before="60" w:after="60" w:line="276" w:lineRule="auto"/>
        <w:ind w:left="1418" w:hanging="567"/>
        <w:rPr>
          <w:rFonts w:asciiTheme="minorHAnsi" w:hAnsiTheme="minorHAnsi" w:cstheme="minorHAnsi"/>
          <w:szCs w:val="24"/>
        </w:rPr>
      </w:pPr>
      <w:r w:rsidRPr="00C74A0A">
        <w:rPr>
          <w:rFonts w:asciiTheme="minorHAnsi" w:hAnsiTheme="minorHAnsi" w:cstheme="minorHAnsi"/>
          <w:b/>
          <w:szCs w:val="24"/>
        </w:rPr>
        <w:t>JC</w:t>
      </w:r>
      <w:r w:rsidRPr="00C74A0A">
        <w:rPr>
          <w:rFonts w:asciiTheme="minorHAnsi" w:hAnsiTheme="minorHAnsi" w:cstheme="minorHAnsi"/>
          <w:b/>
          <w:szCs w:val="24"/>
          <w:vertAlign w:val="subscript"/>
        </w:rPr>
        <w:t>nr</w:t>
      </w:r>
      <w:r w:rsidR="00E93FCC">
        <w:rPr>
          <w:rFonts w:asciiTheme="minorHAnsi" w:hAnsiTheme="minorHAnsi" w:cstheme="minorHAnsi"/>
          <w:b/>
          <w:szCs w:val="24"/>
        </w:rPr>
        <w:tab/>
      </w:r>
      <w:r w:rsidRPr="00C74A0A">
        <w:rPr>
          <w:rFonts w:asciiTheme="minorHAnsi" w:hAnsiTheme="minorHAnsi" w:cstheme="minorHAnsi"/>
          <w:szCs w:val="24"/>
        </w:rPr>
        <w:t>Roční jednotková cena účinná v příslušném roce</w:t>
      </w:r>
      <w:r w:rsidR="00594B3A">
        <w:rPr>
          <w:rFonts w:asciiTheme="minorHAnsi" w:hAnsiTheme="minorHAnsi" w:cstheme="minorHAnsi"/>
          <w:szCs w:val="24"/>
        </w:rPr>
        <w:t>.</w:t>
      </w:r>
    </w:p>
    <w:p w:rsidR="00C74A0A" w:rsidRPr="00C74A0A" w:rsidRDefault="00C74A0A" w:rsidP="00201CFC">
      <w:pPr>
        <w:pStyle w:val="Odstavecseseznamem"/>
        <w:spacing w:before="60" w:after="60"/>
        <w:ind w:left="1418" w:hanging="567"/>
        <w:jc w:val="both"/>
        <w:rPr>
          <w:rFonts w:asciiTheme="minorHAnsi" w:hAnsiTheme="minorHAnsi" w:cstheme="minorHAnsi"/>
          <w:sz w:val="24"/>
          <w:szCs w:val="24"/>
        </w:rPr>
      </w:pPr>
      <w:r w:rsidRPr="00C74A0A">
        <w:rPr>
          <w:rFonts w:asciiTheme="minorHAnsi" w:hAnsiTheme="minorHAnsi" w:cstheme="minorHAnsi"/>
          <w:b/>
          <w:sz w:val="24"/>
          <w:szCs w:val="24"/>
        </w:rPr>
        <w:t>JC</w:t>
      </w:r>
      <w:r w:rsidRPr="00C74A0A">
        <w:rPr>
          <w:rFonts w:asciiTheme="minorHAnsi" w:hAnsiTheme="minorHAnsi" w:cstheme="minorHAnsi"/>
          <w:b/>
          <w:sz w:val="24"/>
          <w:szCs w:val="24"/>
          <w:vertAlign w:val="subscript"/>
        </w:rPr>
        <w:t>nr-1</w:t>
      </w:r>
      <w:r w:rsidR="00E93FCC">
        <w:rPr>
          <w:rFonts w:asciiTheme="minorHAnsi" w:hAnsiTheme="minorHAnsi" w:cstheme="minorHAnsi"/>
          <w:b/>
          <w:sz w:val="24"/>
          <w:szCs w:val="24"/>
        </w:rPr>
        <w:t xml:space="preserve"> </w:t>
      </w:r>
      <w:r w:rsidR="00E93FCC" w:rsidRPr="00C74A0A">
        <w:rPr>
          <w:rFonts w:asciiTheme="minorHAnsi" w:hAnsiTheme="minorHAnsi" w:cstheme="minorHAnsi"/>
          <w:sz w:val="24"/>
          <w:szCs w:val="24"/>
        </w:rPr>
        <w:tab/>
      </w:r>
      <w:r w:rsidRPr="00C74A0A">
        <w:rPr>
          <w:rFonts w:asciiTheme="minorHAnsi" w:hAnsiTheme="minorHAnsi" w:cstheme="minorHAnsi"/>
          <w:sz w:val="24"/>
          <w:szCs w:val="24"/>
        </w:rPr>
        <w:t>Roční jednotková cena účinná v roce bezprostředně předcházejícím příslušnému roku</w:t>
      </w:r>
      <w:r w:rsidR="00594B3A">
        <w:rPr>
          <w:rFonts w:asciiTheme="minorHAnsi" w:hAnsiTheme="minorHAnsi" w:cstheme="minorHAnsi"/>
          <w:sz w:val="24"/>
          <w:szCs w:val="24"/>
        </w:rPr>
        <w:t>.</w:t>
      </w:r>
      <w:r w:rsidRPr="00C74A0A">
        <w:rPr>
          <w:rFonts w:asciiTheme="minorHAnsi" w:hAnsiTheme="minorHAnsi" w:cstheme="minorHAnsi"/>
          <w:sz w:val="24"/>
          <w:szCs w:val="24"/>
        </w:rPr>
        <w:t xml:space="preserve">   </w:t>
      </w:r>
    </w:p>
    <w:p w:rsidR="00C74A0A" w:rsidRPr="0062124A" w:rsidRDefault="00C74A0A" w:rsidP="00201CFC">
      <w:pPr>
        <w:pStyle w:val="Odstavecseseznamem"/>
        <w:spacing w:before="60" w:after="60"/>
        <w:ind w:left="1418" w:hanging="567"/>
        <w:jc w:val="both"/>
        <w:rPr>
          <w:rFonts w:asciiTheme="minorHAnsi" w:hAnsiTheme="minorHAnsi" w:cstheme="minorHAnsi"/>
          <w:sz w:val="24"/>
          <w:szCs w:val="24"/>
        </w:rPr>
      </w:pPr>
      <w:r w:rsidRPr="0062124A">
        <w:rPr>
          <w:rFonts w:asciiTheme="minorHAnsi" w:hAnsiTheme="minorHAnsi" w:cstheme="minorHAnsi"/>
          <w:b/>
          <w:sz w:val="24"/>
          <w:szCs w:val="24"/>
        </w:rPr>
        <w:t>CPI</w:t>
      </w:r>
      <w:r w:rsidR="0071554C">
        <w:rPr>
          <w:rFonts w:asciiTheme="minorHAnsi" w:hAnsiTheme="minorHAnsi" w:cstheme="minorHAnsi"/>
          <w:sz w:val="24"/>
          <w:szCs w:val="24"/>
        </w:rPr>
        <w:tab/>
      </w:r>
      <w:r w:rsidRPr="0062124A">
        <w:rPr>
          <w:rFonts w:asciiTheme="minorHAnsi" w:hAnsiTheme="minorHAnsi" w:cstheme="minorHAnsi"/>
          <w:sz w:val="24"/>
          <w:szCs w:val="24"/>
        </w:rPr>
        <w:t>Index nárůstu průměrné měsíční mzdy (v odvětví průmyslu) za 1. - 4. čtvrtletí</w:t>
      </w:r>
      <w:r w:rsidR="0071554C">
        <w:rPr>
          <w:rFonts w:asciiTheme="minorHAnsi" w:hAnsiTheme="minorHAnsi" w:cstheme="minorHAnsi"/>
          <w:sz w:val="24"/>
          <w:szCs w:val="24"/>
        </w:rPr>
        <w:t xml:space="preserve"> </w:t>
      </w:r>
      <w:r w:rsidRPr="0062124A">
        <w:rPr>
          <w:rFonts w:asciiTheme="minorHAnsi" w:hAnsiTheme="minorHAnsi" w:cstheme="minorHAnsi"/>
          <w:sz w:val="24"/>
          <w:szCs w:val="24"/>
        </w:rPr>
        <w:t xml:space="preserve">kalendářního </w:t>
      </w:r>
      <w:r w:rsidR="0071554C">
        <w:rPr>
          <w:rFonts w:asciiTheme="minorHAnsi" w:hAnsiTheme="minorHAnsi" w:cstheme="minorHAnsi"/>
          <w:sz w:val="24"/>
          <w:szCs w:val="24"/>
        </w:rPr>
        <w:tab/>
      </w:r>
      <w:r w:rsidRPr="0062124A">
        <w:rPr>
          <w:rFonts w:asciiTheme="minorHAnsi" w:hAnsiTheme="minorHAnsi" w:cstheme="minorHAnsi"/>
          <w:sz w:val="24"/>
          <w:szCs w:val="24"/>
        </w:rPr>
        <w:t xml:space="preserve">roku bezprostředně předcházejícího roku, v němž je cena stanovována. Index je zveřejněný </w:t>
      </w:r>
      <w:r w:rsidR="0071554C">
        <w:rPr>
          <w:rFonts w:asciiTheme="minorHAnsi" w:hAnsiTheme="minorHAnsi" w:cstheme="minorHAnsi"/>
          <w:sz w:val="24"/>
          <w:szCs w:val="24"/>
        </w:rPr>
        <w:t>Č</w:t>
      </w:r>
      <w:r w:rsidRPr="0062124A">
        <w:rPr>
          <w:rFonts w:asciiTheme="minorHAnsi" w:hAnsiTheme="minorHAnsi" w:cstheme="minorHAnsi"/>
          <w:sz w:val="24"/>
          <w:szCs w:val="24"/>
        </w:rPr>
        <w:t xml:space="preserve">eským statistickým úřadem (dále jen „ČSÚ“), </w:t>
      </w:r>
      <w:r w:rsidR="00250703">
        <w:rPr>
          <w:rFonts w:asciiTheme="minorHAnsi" w:hAnsiTheme="minorHAnsi" w:cstheme="minorHAnsi"/>
          <w:sz w:val="24"/>
          <w:szCs w:val="24"/>
        </w:rPr>
        <w:lastRenderedPageBreak/>
        <w:t xml:space="preserve">tabulka </w:t>
      </w:r>
      <w:r w:rsidR="00A03FA1" w:rsidRPr="0062124A">
        <w:rPr>
          <w:rFonts w:asciiTheme="minorHAnsi" w:hAnsiTheme="minorHAnsi" w:cstheme="minorHAnsi"/>
          <w:sz w:val="24"/>
          <w:szCs w:val="24"/>
        </w:rPr>
        <w:t>„</w:t>
      </w:r>
      <w:r w:rsidR="005A2278" w:rsidRPr="0062124A">
        <w:rPr>
          <w:rFonts w:asciiTheme="minorHAnsi" w:hAnsiTheme="minorHAnsi" w:cstheme="minorHAnsi"/>
          <w:sz w:val="24"/>
          <w:szCs w:val="24"/>
        </w:rPr>
        <w:t xml:space="preserve">Počet zaměstnanců a průměrné </w:t>
      </w:r>
      <w:r w:rsidR="0071554C">
        <w:rPr>
          <w:rFonts w:asciiTheme="minorHAnsi" w:hAnsiTheme="minorHAnsi" w:cstheme="minorHAnsi"/>
          <w:sz w:val="24"/>
          <w:szCs w:val="24"/>
        </w:rPr>
        <w:tab/>
      </w:r>
      <w:r w:rsidR="005A2278" w:rsidRPr="0062124A">
        <w:rPr>
          <w:rFonts w:asciiTheme="minorHAnsi" w:hAnsiTheme="minorHAnsi" w:cstheme="minorHAnsi"/>
          <w:sz w:val="24"/>
          <w:szCs w:val="24"/>
        </w:rPr>
        <w:t xml:space="preserve">hrubé měsíční mzdy podle CZ-NACE </w:t>
      </w:r>
      <w:r w:rsidRPr="0062124A">
        <w:rPr>
          <w:rFonts w:asciiTheme="minorHAnsi" w:hAnsiTheme="minorHAnsi" w:cstheme="minorHAnsi"/>
          <w:sz w:val="24"/>
          <w:szCs w:val="24"/>
        </w:rPr>
        <w:t>(fyzické osoby)</w:t>
      </w:r>
      <w:r w:rsidR="00A03FA1" w:rsidRPr="0062124A">
        <w:rPr>
          <w:rFonts w:asciiTheme="minorHAnsi" w:hAnsiTheme="minorHAnsi" w:cstheme="minorHAnsi"/>
          <w:sz w:val="24"/>
          <w:szCs w:val="24"/>
        </w:rPr>
        <w:t>“</w:t>
      </w:r>
      <w:r w:rsidRPr="0062124A">
        <w:rPr>
          <w:rFonts w:asciiTheme="minorHAnsi" w:hAnsiTheme="minorHAnsi" w:cstheme="minorHAnsi"/>
          <w:sz w:val="24"/>
          <w:szCs w:val="24"/>
        </w:rPr>
        <w:t xml:space="preserve">, </w:t>
      </w:r>
      <w:r w:rsidR="009C08F6">
        <w:rPr>
          <w:rFonts w:asciiTheme="minorHAnsi" w:hAnsiTheme="minorHAnsi" w:cstheme="minorHAnsi"/>
          <w:sz w:val="24"/>
          <w:szCs w:val="24"/>
        </w:rPr>
        <w:t>řádek indexu „</w:t>
      </w:r>
      <w:r w:rsidR="00C72926">
        <w:rPr>
          <w:rFonts w:asciiTheme="minorHAnsi" w:hAnsiTheme="minorHAnsi" w:cstheme="minorHAnsi"/>
          <w:sz w:val="24"/>
          <w:szCs w:val="24"/>
        </w:rPr>
        <w:t xml:space="preserve">Průmysl celkem </w:t>
      </w:r>
      <w:r w:rsidR="005A2278" w:rsidRPr="0062124A">
        <w:rPr>
          <w:rFonts w:asciiTheme="minorHAnsi" w:hAnsiTheme="minorHAnsi" w:cstheme="minorHAnsi"/>
          <w:sz w:val="24"/>
          <w:szCs w:val="24"/>
        </w:rPr>
        <w:t>B-E</w:t>
      </w:r>
      <w:r w:rsidR="009C08F6">
        <w:rPr>
          <w:rFonts w:asciiTheme="minorHAnsi" w:hAnsiTheme="minorHAnsi" w:cstheme="minorHAnsi"/>
          <w:sz w:val="24"/>
          <w:szCs w:val="24"/>
        </w:rPr>
        <w:t>“</w:t>
      </w:r>
      <w:r w:rsidR="00C72926">
        <w:rPr>
          <w:rFonts w:asciiTheme="minorHAnsi" w:hAnsiTheme="minorHAnsi" w:cstheme="minorHAnsi"/>
          <w:sz w:val="24"/>
          <w:szCs w:val="24"/>
        </w:rPr>
        <w:t>.</w:t>
      </w:r>
      <w:r w:rsidR="007A3CD4">
        <w:rPr>
          <w:rStyle w:val="Znakapoznpodarou"/>
          <w:rFonts w:asciiTheme="minorHAnsi" w:hAnsiTheme="minorHAnsi" w:cstheme="minorHAnsi"/>
          <w:sz w:val="24"/>
          <w:szCs w:val="24"/>
        </w:rPr>
        <w:footnoteReference w:id="1"/>
      </w:r>
    </w:p>
    <w:p w:rsidR="00C74A0A" w:rsidRPr="0062124A" w:rsidRDefault="00C74A0A" w:rsidP="00201CFC">
      <w:pPr>
        <w:pStyle w:val="Odstavecseseznamem"/>
        <w:spacing w:before="60" w:after="60"/>
        <w:ind w:left="1418" w:hanging="567"/>
        <w:jc w:val="both"/>
        <w:rPr>
          <w:rFonts w:asciiTheme="minorHAnsi" w:hAnsiTheme="minorHAnsi" w:cstheme="minorHAnsi"/>
          <w:sz w:val="24"/>
          <w:szCs w:val="24"/>
        </w:rPr>
      </w:pPr>
      <w:r w:rsidRPr="0062124A">
        <w:rPr>
          <w:rFonts w:asciiTheme="minorHAnsi" w:hAnsiTheme="minorHAnsi" w:cstheme="minorHAnsi"/>
          <w:b/>
          <w:sz w:val="24"/>
          <w:szCs w:val="24"/>
        </w:rPr>
        <w:t>PPI</w:t>
      </w:r>
      <w:r w:rsidR="00E93FCC" w:rsidRPr="0062124A">
        <w:rPr>
          <w:rFonts w:asciiTheme="minorHAnsi" w:hAnsiTheme="minorHAnsi" w:cstheme="minorHAnsi"/>
          <w:b/>
          <w:sz w:val="24"/>
          <w:szCs w:val="24"/>
        </w:rPr>
        <w:tab/>
      </w:r>
      <w:r w:rsidRPr="0062124A">
        <w:rPr>
          <w:rFonts w:asciiTheme="minorHAnsi" w:hAnsiTheme="minorHAnsi" w:cstheme="minorHAnsi"/>
          <w:sz w:val="24"/>
          <w:szCs w:val="24"/>
        </w:rPr>
        <w:t xml:space="preserve">Index cen průmyslových výrobců (podíl průměrů indexů za posledních 12 měsíců průměru indexů za bezprostředně předchozích 12 měsíců) za měsíc </w:t>
      </w:r>
      <w:r w:rsidR="00A03FA1" w:rsidRPr="0062124A">
        <w:rPr>
          <w:rFonts w:asciiTheme="minorHAnsi" w:hAnsiTheme="minorHAnsi" w:cstheme="minorHAnsi"/>
          <w:sz w:val="24"/>
          <w:szCs w:val="24"/>
        </w:rPr>
        <w:t xml:space="preserve">březen </w:t>
      </w:r>
      <w:r w:rsidR="0071554C">
        <w:rPr>
          <w:rFonts w:asciiTheme="minorHAnsi" w:hAnsiTheme="minorHAnsi" w:cstheme="minorHAnsi"/>
          <w:sz w:val="24"/>
          <w:szCs w:val="24"/>
        </w:rPr>
        <w:t>p</w:t>
      </w:r>
      <w:r w:rsidRPr="0062124A">
        <w:rPr>
          <w:rFonts w:asciiTheme="minorHAnsi" w:hAnsiTheme="minorHAnsi" w:cstheme="minorHAnsi"/>
          <w:sz w:val="24"/>
          <w:szCs w:val="24"/>
        </w:rPr>
        <w:t>říslušného roku</w:t>
      </w:r>
      <w:r w:rsidR="005F1437" w:rsidRPr="0062124A">
        <w:rPr>
          <w:rFonts w:asciiTheme="minorHAnsi" w:hAnsiTheme="minorHAnsi" w:cstheme="minorHAnsi"/>
          <w:sz w:val="24"/>
          <w:szCs w:val="24"/>
        </w:rPr>
        <w:t>.</w:t>
      </w:r>
      <w:r w:rsidRPr="0062124A">
        <w:rPr>
          <w:rFonts w:asciiTheme="minorHAnsi" w:hAnsiTheme="minorHAnsi" w:cstheme="minorHAnsi"/>
          <w:sz w:val="24"/>
          <w:szCs w:val="24"/>
        </w:rPr>
        <w:t xml:space="preserve"> Index </w:t>
      </w:r>
      <w:r w:rsidR="005F1437" w:rsidRPr="0062124A">
        <w:rPr>
          <w:rFonts w:asciiTheme="minorHAnsi" w:hAnsiTheme="minorHAnsi" w:cstheme="minorHAnsi"/>
          <w:sz w:val="24"/>
          <w:szCs w:val="24"/>
        </w:rPr>
        <w:t xml:space="preserve">je </w:t>
      </w:r>
      <w:r w:rsidRPr="0062124A">
        <w:rPr>
          <w:rFonts w:asciiTheme="minorHAnsi" w:hAnsiTheme="minorHAnsi" w:cstheme="minorHAnsi"/>
          <w:sz w:val="24"/>
          <w:szCs w:val="24"/>
        </w:rPr>
        <w:t xml:space="preserve">zveřejněný ČSÚ, tabulka </w:t>
      </w:r>
      <w:r w:rsidR="0062124A">
        <w:rPr>
          <w:rFonts w:asciiTheme="minorHAnsi" w:hAnsiTheme="minorHAnsi" w:cstheme="minorHAnsi"/>
          <w:sz w:val="24"/>
          <w:szCs w:val="24"/>
        </w:rPr>
        <w:t>„</w:t>
      </w:r>
      <w:r w:rsidR="0062124A" w:rsidRPr="0062124A">
        <w:rPr>
          <w:rFonts w:asciiTheme="minorHAnsi" w:hAnsiTheme="minorHAnsi" w:cstheme="minorHAnsi"/>
          <w:sz w:val="24"/>
          <w:szCs w:val="24"/>
        </w:rPr>
        <w:t>Index cen průmyslových výrobců podle sekce a subsekce CZ-CPA v České republice (podíl klouzavých průměrů</w:t>
      </w:r>
      <w:r w:rsidR="0062124A">
        <w:rPr>
          <w:rFonts w:asciiTheme="minorHAnsi" w:hAnsiTheme="minorHAnsi" w:cstheme="minorHAnsi"/>
          <w:sz w:val="24"/>
          <w:szCs w:val="24"/>
        </w:rPr>
        <w:t>)“</w:t>
      </w:r>
      <w:r w:rsidR="00A03FA1" w:rsidRPr="0062124A">
        <w:rPr>
          <w:rFonts w:asciiTheme="minorHAnsi" w:hAnsiTheme="minorHAnsi" w:cstheme="minorHAnsi"/>
          <w:sz w:val="24"/>
          <w:szCs w:val="24"/>
        </w:rPr>
        <w:t xml:space="preserve">, </w:t>
      </w:r>
      <w:r w:rsidR="0071554C">
        <w:rPr>
          <w:rFonts w:asciiTheme="minorHAnsi" w:hAnsiTheme="minorHAnsi" w:cstheme="minorHAnsi"/>
          <w:sz w:val="24"/>
          <w:szCs w:val="24"/>
        </w:rPr>
        <w:t>ř</w:t>
      </w:r>
      <w:r w:rsidR="009C08F6">
        <w:rPr>
          <w:rFonts w:asciiTheme="minorHAnsi" w:hAnsiTheme="minorHAnsi" w:cstheme="minorHAnsi"/>
          <w:sz w:val="24"/>
          <w:szCs w:val="24"/>
        </w:rPr>
        <w:t>ádek indexu „</w:t>
      </w:r>
      <w:r w:rsidR="00A33E92">
        <w:rPr>
          <w:rFonts w:asciiTheme="minorHAnsi" w:hAnsiTheme="minorHAnsi" w:cstheme="minorHAnsi"/>
          <w:sz w:val="24"/>
          <w:szCs w:val="24"/>
        </w:rPr>
        <w:t>Ú</w:t>
      </w:r>
      <w:r w:rsidR="00A03FA1" w:rsidRPr="0062124A">
        <w:rPr>
          <w:rFonts w:asciiTheme="minorHAnsi" w:hAnsiTheme="minorHAnsi" w:cstheme="minorHAnsi"/>
          <w:sz w:val="24"/>
          <w:szCs w:val="24"/>
        </w:rPr>
        <w:t>hrn B</w:t>
      </w:r>
      <w:r w:rsidR="007B03E1">
        <w:rPr>
          <w:rFonts w:asciiTheme="minorHAnsi" w:hAnsiTheme="minorHAnsi" w:cstheme="minorHAnsi"/>
          <w:sz w:val="24"/>
          <w:szCs w:val="24"/>
        </w:rPr>
        <w:t>,</w:t>
      </w:r>
      <w:r w:rsidRPr="0062124A">
        <w:rPr>
          <w:rFonts w:asciiTheme="minorHAnsi" w:hAnsiTheme="minorHAnsi" w:cstheme="minorHAnsi"/>
          <w:sz w:val="24"/>
          <w:szCs w:val="24"/>
        </w:rPr>
        <w:t>C</w:t>
      </w:r>
      <w:r w:rsidR="007B03E1">
        <w:rPr>
          <w:rFonts w:asciiTheme="minorHAnsi" w:hAnsiTheme="minorHAnsi" w:cstheme="minorHAnsi"/>
          <w:sz w:val="24"/>
          <w:szCs w:val="24"/>
        </w:rPr>
        <w:t>,</w:t>
      </w:r>
      <w:r w:rsidRPr="0062124A">
        <w:rPr>
          <w:rFonts w:asciiTheme="minorHAnsi" w:hAnsiTheme="minorHAnsi" w:cstheme="minorHAnsi"/>
          <w:sz w:val="24"/>
          <w:szCs w:val="24"/>
        </w:rPr>
        <w:t>D</w:t>
      </w:r>
      <w:r w:rsidR="007B03E1">
        <w:rPr>
          <w:rFonts w:asciiTheme="minorHAnsi" w:hAnsiTheme="minorHAnsi" w:cstheme="minorHAnsi"/>
          <w:sz w:val="24"/>
          <w:szCs w:val="24"/>
        </w:rPr>
        <w:t>,</w:t>
      </w:r>
      <w:r w:rsidRPr="0062124A">
        <w:rPr>
          <w:rFonts w:asciiTheme="minorHAnsi" w:hAnsiTheme="minorHAnsi" w:cstheme="minorHAnsi"/>
          <w:sz w:val="24"/>
          <w:szCs w:val="24"/>
        </w:rPr>
        <w:t>E</w:t>
      </w:r>
      <w:r w:rsidR="009C08F6">
        <w:rPr>
          <w:rFonts w:asciiTheme="minorHAnsi" w:hAnsiTheme="minorHAnsi" w:cstheme="minorHAnsi"/>
          <w:sz w:val="24"/>
          <w:szCs w:val="24"/>
        </w:rPr>
        <w:t>“</w:t>
      </w:r>
      <w:r w:rsidR="0062124A">
        <w:rPr>
          <w:rFonts w:asciiTheme="minorHAnsi" w:hAnsiTheme="minorHAnsi" w:cstheme="minorHAnsi"/>
          <w:sz w:val="24"/>
          <w:szCs w:val="24"/>
        </w:rPr>
        <w:t>.</w:t>
      </w:r>
      <w:r w:rsidR="007A3CD4">
        <w:rPr>
          <w:rStyle w:val="Znakapoznpodarou"/>
          <w:rFonts w:asciiTheme="minorHAnsi" w:hAnsiTheme="minorHAnsi" w:cstheme="minorHAnsi"/>
          <w:sz w:val="24"/>
          <w:szCs w:val="24"/>
        </w:rPr>
        <w:footnoteReference w:id="2"/>
      </w:r>
    </w:p>
    <w:p w:rsidR="00C74A0A" w:rsidRPr="00201CFC" w:rsidRDefault="00C74A0A" w:rsidP="00637D86">
      <w:pPr>
        <w:pStyle w:val="Odstavecseseznamem"/>
        <w:numPr>
          <w:ilvl w:val="0"/>
          <w:numId w:val="21"/>
        </w:numPr>
        <w:spacing w:before="60" w:after="60"/>
        <w:ind w:left="851" w:hanging="284"/>
        <w:contextualSpacing/>
        <w:rPr>
          <w:rFonts w:asciiTheme="minorHAnsi" w:hAnsiTheme="minorHAnsi" w:cstheme="minorHAnsi"/>
          <w:b/>
          <w:sz w:val="24"/>
          <w:szCs w:val="24"/>
        </w:rPr>
      </w:pPr>
      <w:r w:rsidRPr="00201CFC">
        <w:rPr>
          <w:rFonts w:asciiTheme="minorHAnsi" w:hAnsiTheme="minorHAnsi" w:cstheme="minorHAnsi"/>
          <w:b/>
          <w:sz w:val="24"/>
          <w:szCs w:val="24"/>
        </w:rPr>
        <w:t>Cena za činnosti související s uskladňováním plynu</w:t>
      </w:r>
    </w:p>
    <w:p w:rsidR="00C74A0A" w:rsidRPr="00F00FDC" w:rsidRDefault="00C74A0A" w:rsidP="00F00FDC">
      <w:pPr>
        <w:pStyle w:val="Odstavecseseznamem"/>
        <w:spacing w:before="60" w:after="60"/>
        <w:ind w:left="851"/>
        <w:jc w:val="both"/>
        <w:rPr>
          <w:rFonts w:asciiTheme="minorHAnsi" w:hAnsiTheme="minorHAnsi" w:cstheme="minorHAnsi"/>
          <w:sz w:val="24"/>
          <w:szCs w:val="24"/>
        </w:rPr>
      </w:pPr>
      <w:r w:rsidRPr="00C74A0A">
        <w:rPr>
          <w:rFonts w:asciiTheme="minorHAnsi" w:hAnsiTheme="minorHAnsi" w:cstheme="minorHAnsi"/>
          <w:b/>
          <w:sz w:val="24"/>
          <w:szCs w:val="24"/>
        </w:rPr>
        <w:t>C</w:t>
      </w:r>
      <w:r w:rsidRPr="00C74A0A">
        <w:rPr>
          <w:rFonts w:asciiTheme="minorHAnsi" w:hAnsiTheme="minorHAnsi" w:cstheme="minorHAnsi"/>
          <w:b/>
          <w:sz w:val="24"/>
          <w:szCs w:val="24"/>
          <w:vertAlign w:val="subscript"/>
        </w:rPr>
        <w:t>SC</w:t>
      </w:r>
      <w:r w:rsidRPr="00C74A0A">
        <w:rPr>
          <w:rFonts w:asciiTheme="minorHAnsi" w:hAnsiTheme="minorHAnsi" w:cstheme="minorHAnsi"/>
          <w:sz w:val="24"/>
          <w:szCs w:val="24"/>
        </w:rPr>
        <w:t xml:space="preserve"> je roční cena za činnosti související s uskladňováním plynu, je vyjádřena v Kč/rok a vypočte se jako</w:t>
      </w:r>
      <w:r w:rsidR="00F00FDC">
        <w:rPr>
          <w:rFonts w:asciiTheme="minorHAnsi" w:hAnsiTheme="minorHAnsi" w:cstheme="minorHAnsi"/>
          <w:sz w:val="24"/>
          <w:szCs w:val="24"/>
        </w:rPr>
        <w:t xml:space="preserve"> </w:t>
      </w:r>
      <w:r w:rsidRPr="00F00FDC">
        <w:rPr>
          <w:rFonts w:asciiTheme="minorHAnsi" w:hAnsiTheme="minorHAnsi" w:cstheme="minorHAnsi"/>
          <w:sz w:val="24"/>
          <w:szCs w:val="24"/>
        </w:rPr>
        <w:t xml:space="preserve">roční nákladový koeficient / celkový denní maximální těžební výkon skladovatele (ve virtuálním zásobníku plynu) uveřejněný pro příslušný rok v souladu s Řádem v </w:t>
      </w:r>
      <w:r w:rsidR="006B7322" w:rsidRPr="00F00FDC">
        <w:rPr>
          <w:rFonts w:asciiTheme="minorHAnsi" w:hAnsiTheme="minorHAnsi" w:cstheme="minorHAnsi"/>
          <w:sz w:val="24"/>
          <w:szCs w:val="24"/>
        </w:rPr>
        <w:t>kWh</w:t>
      </w:r>
      <w:r w:rsidR="006B7322" w:rsidRPr="00F00FDC">
        <w:rPr>
          <w:rFonts w:asciiTheme="minorHAnsi" w:hAnsiTheme="minorHAnsi" w:cstheme="minorHAnsi"/>
          <w:sz w:val="24"/>
          <w:szCs w:val="24"/>
          <w:vertAlign w:val="superscript"/>
        </w:rPr>
        <w:t xml:space="preserve"> </w:t>
      </w:r>
      <w:r w:rsidRPr="00F00FDC">
        <w:rPr>
          <w:rFonts w:asciiTheme="minorHAnsi" w:hAnsiTheme="minorHAnsi" w:cstheme="minorHAnsi"/>
          <w:sz w:val="24"/>
          <w:szCs w:val="24"/>
        </w:rPr>
        <w:t>x Denní maximální těžební nebo vtláčecí výkon uvedený v</w:t>
      </w:r>
      <w:r w:rsidR="00DF1653" w:rsidRPr="00F00FDC">
        <w:rPr>
          <w:rFonts w:asciiTheme="minorHAnsi" w:hAnsiTheme="minorHAnsi" w:cstheme="minorHAnsi"/>
          <w:sz w:val="24"/>
          <w:szCs w:val="24"/>
        </w:rPr>
        <w:t xml:space="preserve"> čl. </w:t>
      </w:r>
      <w:r w:rsidRPr="00F00FDC">
        <w:rPr>
          <w:rFonts w:asciiTheme="minorHAnsi" w:hAnsiTheme="minorHAnsi" w:cstheme="minorHAnsi"/>
          <w:sz w:val="24"/>
          <w:szCs w:val="24"/>
        </w:rPr>
        <w:t>III</w:t>
      </w:r>
      <w:r w:rsidR="00DF1653" w:rsidRPr="00F00FDC">
        <w:rPr>
          <w:rFonts w:asciiTheme="minorHAnsi" w:hAnsiTheme="minorHAnsi" w:cstheme="minorHAnsi"/>
          <w:sz w:val="24"/>
          <w:szCs w:val="24"/>
        </w:rPr>
        <w:t>., odst. 1.</w:t>
      </w:r>
      <w:r w:rsidRPr="00F00FDC">
        <w:rPr>
          <w:rFonts w:asciiTheme="minorHAnsi" w:hAnsiTheme="minorHAnsi" w:cstheme="minorHAnsi"/>
          <w:sz w:val="24"/>
          <w:szCs w:val="24"/>
        </w:rPr>
        <w:t xml:space="preserve"> </w:t>
      </w:r>
      <w:r w:rsidR="005F1437" w:rsidRPr="00F00FDC">
        <w:rPr>
          <w:rFonts w:asciiTheme="minorHAnsi" w:hAnsiTheme="minorHAnsi" w:cstheme="minorHAnsi"/>
          <w:sz w:val="24"/>
          <w:szCs w:val="24"/>
        </w:rPr>
        <w:t xml:space="preserve">této smlouvy </w:t>
      </w:r>
      <w:r w:rsidRPr="00F00FDC">
        <w:rPr>
          <w:rFonts w:asciiTheme="minorHAnsi" w:hAnsiTheme="minorHAnsi" w:cstheme="minorHAnsi"/>
          <w:sz w:val="24"/>
          <w:szCs w:val="24"/>
        </w:rPr>
        <w:t>v</w:t>
      </w:r>
      <w:r w:rsidR="00F00FDC">
        <w:rPr>
          <w:rFonts w:asciiTheme="minorHAnsi" w:hAnsiTheme="minorHAnsi" w:cstheme="minorHAnsi"/>
          <w:sz w:val="24"/>
          <w:szCs w:val="24"/>
        </w:rPr>
        <w:t> </w:t>
      </w:r>
      <w:r w:rsidR="006B7322" w:rsidRPr="00F00FDC">
        <w:rPr>
          <w:rFonts w:asciiTheme="minorHAnsi" w:hAnsiTheme="minorHAnsi" w:cstheme="minorHAnsi"/>
          <w:sz w:val="24"/>
          <w:szCs w:val="24"/>
        </w:rPr>
        <w:t>kWh</w:t>
      </w:r>
      <w:r w:rsidR="00F00FDC">
        <w:rPr>
          <w:rFonts w:asciiTheme="minorHAnsi" w:hAnsiTheme="minorHAnsi" w:cstheme="minorHAnsi"/>
          <w:sz w:val="24"/>
          <w:szCs w:val="24"/>
        </w:rPr>
        <w:t xml:space="preserve"> (</w:t>
      </w:r>
      <w:r w:rsidRPr="00F00FDC">
        <w:rPr>
          <w:rFonts w:asciiTheme="minorHAnsi" w:hAnsiTheme="minorHAnsi" w:cstheme="minorHAnsi"/>
          <w:sz w:val="24"/>
          <w:szCs w:val="24"/>
        </w:rPr>
        <w:t>podle toho, která hodnota je vyšší</w:t>
      </w:r>
      <w:r w:rsidR="00F00FDC">
        <w:rPr>
          <w:rFonts w:asciiTheme="minorHAnsi" w:hAnsiTheme="minorHAnsi" w:cstheme="minorHAnsi"/>
          <w:sz w:val="24"/>
          <w:szCs w:val="24"/>
        </w:rPr>
        <w:t>)</w:t>
      </w:r>
      <w:r w:rsidRPr="00F00FDC">
        <w:rPr>
          <w:rFonts w:asciiTheme="minorHAnsi" w:hAnsiTheme="minorHAnsi" w:cstheme="minorHAnsi"/>
          <w:sz w:val="24"/>
          <w:szCs w:val="24"/>
        </w:rPr>
        <w:t>.</w:t>
      </w:r>
    </w:p>
    <w:p w:rsidR="00C74A0A" w:rsidRDefault="00C74A0A" w:rsidP="00201CFC">
      <w:pPr>
        <w:pStyle w:val="Odstavecseseznamem"/>
        <w:spacing w:before="60" w:after="60"/>
        <w:ind w:left="851" w:firstLine="1"/>
        <w:jc w:val="both"/>
        <w:rPr>
          <w:rFonts w:asciiTheme="minorHAnsi" w:hAnsiTheme="minorHAnsi" w:cstheme="minorHAnsi"/>
          <w:sz w:val="24"/>
          <w:szCs w:val="24"/>
        </w:rPr>
      </w:pPr>
      <w:r w:rsidRPr="00C74A0A">
        <w:rPr>
          <w:rFonts w:asciiTheme="minorHAnsi" w:hAnsiTheme="minorHAnsi" w:cstheme="minorHAnsi"/>
          <w:sz w:val="24"/>
          <w:szCs w:val="24"/>
        </w:rPr>
        <w:t>Roční nákladový koeficient je pro první rok trvání Smlouvy,</w:t>
      </w:r>
      <w:r w:rsidRPr="005F1437">
        <w:rPr>
          <w:rFonts w:asciiTheme="minorHAnsi" w:hAnsiTheme="minorHAnsi" w:cstheme="minorHAnsi"/>
          <w:sz w:val="24"/>
          <w:szCs w:val="24"/>
        </w:rPr>
        <w:t xml:space="preserve"> kterým je rok 201</w:t>
      </w:r>
      <w:r w:rsidR="002839B9">
        <w:rPr>
          <w:rFonts w:asciiTheme="minorHAnsi" w:hAnsiTheme="minorHAnsi" w:cstheme="minorHAnsi"/>
          <w:sz w:val="24"/>
          <w:szCs w:val="24"/>
        </w:rPr>
        <w:t>3</w:t>
      </w:r>
      <w:r w:rsidR="00594B3A">
        <w:rPr>
          <w:rFonts w:asciiTheme="minorHAnsi" w:hAnsiTheme="minorHAnsi" w:cstheme="minorHAnsi"/>
          <w:sz w:val="24"/>
          <w:szCs w:val="24"/>
        </w:rPr>
        <w:t>, stanoven</w:t>
      </w:r>
      <w:r w:rsidRPr="005F1437">
        <w:rPr>
          <w:rFonts w:asciiTheme="minorHAnsi" w:hAnsiTheme="minorHAnsi" w:cstheme="minorHAnsi"/>
          <w:sz w:val="24"/>
          <w:szCs w:val="24"/>
        </w:rPr>
        <w:t xml:space="preserve"> ve výši 12</w:t>
      </w:r>
      <w:r w:rsidR="005F1A2E">
        <w:rPr>
          <w:rFonts w:asciiTheme="minorHAnsi" w:hAnsiTheme="minorHAnsi" w:cstheme="minorHAnsi"/>
          <w:sz w:val="24"/>
          <w:szCs w:val="24"/>
        </w:rPr>
        <w:t> </w:t>
      </w:r>
      <w:r w:rsidRPr="005F1437">
        <w:rPr>
          <w:rFonts w:asciiTheme="minorHAnsi" w:hAnsiTheme="minorHAnsi" w:cstheme="minorHAnsi"/>
          <w:sz w:val="24"/>
          <w:szCs w:val="24"/>
        </w:rPr>
        <w:t>000</w:t>
      </w:r>
      <w:r w:rsidR="005F1A2E">
        <w:rPr>
          <w:rFonts w:asciiTheme="minorHAnsi" w:hAnsiTheme="minorHAnsi" w:cstheme="minorHAnsi"/>
          <w:sz w:val="24"/>
          <w:szCs w:val="24"/>
        </w:rPr>
        <w:t> </w:t>
      </w:r>
      <w:r w:rsidRPr="005F1437">
        <w:rPr>
          <w:rFonts w:asciiTheme="minorHAnsi" w:hAnsiTheme="minorHAnsi" w:cstheme="minorHAnsi"/>
          <w:sz w:val="24"/>
          <w:szCs w:val="24"/>
        </w:rPr>
        <w:t xml:space="preserve">000 </w:t>
      </w:r>
      <w:r w:rsidRPr="00C74A0A">
        <w:rPr>
          <w:rFonts w:asciiTheme="minorHAnsi" w:hAnsiTheme="minorHAnsi" w:cstheme="minorHAnsi"/>
          <w:sz w:val="24"/>
          <w:szCs w:val="24"/>
        </w:rPr>
        <w:t xml:space="preserve">a na následující roky bude upravován podle následujícího valorizačního vzorce: </w:t>
      </w:r>
    </w:p>
    <w:p w:rsidR="00C74A0A" w:rsidRDefault="00C74A0A" w:rsidP="00201CFC">
      <w:pPr>
        <w:pStyle w:val="Odstavecseseznamem"/>
        <w:spacing w:before="120" w:after="120"/>
        <w:ind w:left="426" w:hanging="426"/>
        <w:jc w:val="center"/>
        <w:rPr>
          <w:rFonts w:asciiTheme="minorHAnsi" w:hAnsiTheme="minorHAnsi" w:cstheme="minorHAnsi"/>
          <w:b/>
          <w:sz w:val="24"/>
          <w:szCs w:val="24"/>
        </w:rPr>
      </w:pPr>
      <w:r w:rsidRPr="00C74A0A">
        <w:rPr>
          <w:rFonts w:asciiTheme="minorHAnsi" w:hAnsiTheme="minorHAnsi" w:cstheme="minorHAnsi"/>
          <w:b/>
          <w:sz w:val="24"/>
          <w:szCs w:val="24"/>
        </w:rPr>
        <w:t>C</w:t>
      </w:r>
      <w:r w:rsidRPr="00C74A0A">
        <w:rPr>
          <w:rFonts w:asciiTheme="minorHAnsi" w:hAnsiTheme="minorHAnsi" w:cstheme="minorHAnsi"/>
          <w:b/>
          <w:sz w:val="24"/>
          <w:szCs w:val="24"/>
          <w:vertAlign w:val="subscript"/>
        </w:rPr>
        <w:t>nr</w:t>
      </w:r>
      <w:r w:rsidRPr="00C74A0A">
        <w:rPr>
          <w:rFonts w:asciiTheme="minorHAnsi" w:hAnsiTheme="minorHAnsi" w:cstheme="minorHAnsi"/>
          <w:b/>
          <w:sz w:val="24"/>
          <w:szCs w:val="24"/>
        </w:rPr>
        <w:t xml:space="preserve"> = C</w:t>
      </w:r>
      <w:r w:rsidRPr="00C74A0A">
        <w:rPr>
          <w:rFonts w:asciiTheme="minorHAnsi" w:hAnsiTheme="minorHAnsi" w:cstheme="minorHAnsi"/>
          <w:b/>
          <w:sz w:val="24"/>
          <w:szCs w:val="24"/>
          <w:vertAlign w:val="subscript"/>
        </w:rPr>
        <w:t>nr-1</w:t>
      </w:r>
      <w:r w:rsidRPr="00C74A0A">
        <w:rPr>
          <w:rFonts w:asciiTheme="minorHAnsi" w:hAnsiTheme="minorHAnsi" w:cstheme="minorHAnsi"/>
          <w:b/>
          <w:sz w:val="24"/>
          <w:szCs w:val="24"/>
        </w:rPr>
        <w:t xml:space="preserve"> x (0,85 x P</w:t>
      </w:r>
      <w:r w:rsidRPr="00462D5B">
        <w:rPr>
          <w:rFonts w:asciiTheme="minorHAnsi" w:hAnsiTheme="minorHAnsi" w:cstheme="minorHAnsi"/>
          <w:b/>
          <w:sz w:val="24"/>
          <w:szCs w:val="24"/>
        </w:rPr>
        <w:t>PI</w:t>
      </w:r>
      <w:r w:rsidRPr="00C74A0A">
        <w:rPr>
          <w:rFonts w:asciiTheme="minorHAnsi" w:hAnsiTheme="minorHAnsi" w:cstheme="minorHAnsi"/>
          <w:b/>
          <w:sz w:val="24"/>
          <w:szCs w:val="24"/>
        </w:rPr>
        <w:t xml:space="preserve"> + 0,15 x C</w:t>
      </w:r>
      <w:r w:rsidRPr="00462D5B">
        <w:rPr>
          <w:rFonts w:asciiTheme="minorHAnsi" w:hAnsiTheme="minorHAnsi" w:cstheme="minorHAnsi"/>
          <w:b/>
          <w:sz w:val="24"/>
          <w:szCs w:val="24"/>
        </w:rPr>
        <w:t>PI</w:t>
      </w:r>
      <w:r w:rsidRPr="00C74A0A">
        <w:rPr>
          <w:rFonts w:asciiTheme="minorHAnsi" w:hAnsiTheme="minorHAnsi" w:cstheme="minorHAnsi"/>
          <w:b/>
          <w:sz w:val="24"/>
          <w:szCs w:val="24"/>
        </w:rPr>
        <w:t>)</w:t>
      </w:r>
    </w:p>
    <w:p w:rsidR="00C74A0A" w:rsidRPr="00C74A0A" w:rsidRDefault="00C74A0A" w:rsidP="00201CFC">
      <w:pPr>
        <w:pStyle w:val="Odstavecseseznamem"/>
        <w:spacing w:before="60" w:after="60"/>
        <w:ind w:left="1418" w:hanging="567"/>
        <w:rPr>
          <w:rFonts w:asciiTheme="minorHAnsi" w:hAnsiTheme="minorHAnsi" w:cstheme="minorHAnsi"/>
          <w:sz w:val="24"/>
          <w:szCs w:val="24"/>
        </w:rPr>
      </w:pPr>
      <w:r w:rsidRPr="00C74A0A">
        <w:rPr>
          <w:rFonts w:asciiTheme="minorHAnsi" w:hAnsiTheme="minorHAnsi" w:cstheme="minorHAnsi"/>
          <w:b/>
          <w:sz w:val="24"/>
          <w:szCs w:val="24"/>
        </w:rPr>
        <w:t>C</w:t>
      </w:r>
      <w:r w:rsidRPr="00C74A0A">
        <w:rPr>
          <w:rFonts w:asciiTheme="minorHAnsi" w:hAnsiTheme="minorHAnsi" w:cstheme="minorHAnsi"/>
          <w:b/>
          <w:sz w:val="24"/>
          <w:szCs w:val="24"/>
          <w:vertAlign w:val="subscript"/>
        </w:rPr>
        <w:t>nr</w:t>
      </w:r>
      <w:r w:rsidR="00E93FCC">
        <w:rPr>
          <w:rFonts w:asciiTheme="minorHAnsi" w:hAnsiTheme="minorHAnsi" w:cstheme="minorHAnsi"/>
          <w:b/>
          <w:sz w:val="24"/>
          <w:szCs w:val="24"/>
        </w:rPr>
        <w:tab/>
      </w:r>
      <w:r w:rsidRPr="00C74A0A">
        <w:rPr>
          <w:rFonts w:asciiTheme="minorHAnsi" w:hAnsiTheme="minorHAnsi" w:cstheme="minorHAnsi"/>
          <w:sz w:val="24"/>
          <w:szCs w:val="24"/>
        </w:rPr>
        <w:t>Roční nákladový koeficient příslušného roku</w:t>
      </w:r>
      <w:r w:rsidR="00594B3A">
        <w:rPr>
          <w:rFonts w:asciiTheme="minorHAnsi" w:hAnsiTheme="minorHAnsi" w:cstheme="minorHAnsi"/>
          <w:sz w:val="24"/>
          <w:szCs w:val="24"/>
        </w:rPr>
        <w:t>.</w:t>
      </w:r>
    </w:p>
    <w:p w:rsidR="00C74A0A" w:rsidRPr="00C74A0A" w:rsidRDefault="00C74A0A" w:rsidP="00201CFC">
      <w:pPr>
        <w:pStyle w:val="Odstavecseseznamem"/>
        <w:spacing w:before="60" w:after="60"/>
        <w:ind w:left="1418" w:hanging="567"/>
        <w:jc w:val="both"/>
        <w:rPr>
          <w:rFonts w:asciiTheme="minorHAnsi" w:hAnsiTheme="minorHAnsi" w:cstheme="minorHAnsi"/>
          <w:sz w:val="24"/>
          <w:szCs w:val="24"/>
        </w:rPr>
      </w:pPr>
      <w:r w:rsidRPr="00C74A0A">
        <w:rPr>
          <w:rFonts w:asciiTheme="minorHAnsi" w:hAnsiTheme="minorHAnsi" w:cstheme="minorHAnsi"/>
          <w:b/>
          <w:sz w:val="24"/>
          <w:szCs w:val="24"/>
        </w:rPr>
        <w:t>C</w:t>
      </w:r>
      <w:r w:rsidRPr="00C74A0A">
        <w:rPr>
          <w:rFonts w:asciiTheme="minorHAnsi" w:hAnsiTheme="minorHAnsi" w:cstheme="minorHAnsi"/>
          <w:b/>
          <w:sz w:val="24"/>
          <w:szCs w:val="24"/>
          <w:vertAlign w:val="subscript"/>
        </w:rPr>
        <w:t xml:space="preserve">nr-1 </w:t>
      </w:r>
      <w:r w:rsidRPr="00C74A0A">
        <w:rPr>
          <w:rFonts w:asciiTheme="minorHAnsi" w:hAnsiTheme="minorHAnsi" w:cstheme="minorHAnsi"/>
          <w:sz w:val="24"/>
          <w:szCs w:val="24"/>
        </w:rPr>
        <w:t xml:space="preserve"> </w:t>
      </w:r>
      <w:r w:rsidRPr="00C74A0A">
        <w:rPr>
          <w:rFonts w:asciiTheme="minorHAnsi" w:hAnsiTheme="minorHAnsi" w:cstheme="minorHAnsi"/>
          <w:sz w:val="24"/>
          <w:szCs w:val="24"/>
        </w:rPr>
        <w:tab/>
        <w:t>Roční nákladový koeficient účinný v roce bezprostředně předcházejícím příslušnému roku</w:t>
      </w:r>
      <w:r w:rsidR="00594B3A">
        <w:rPr>
          <w:rFonts w:asciiTheme="minorHAnsi" w:hAnsiTheme="minorHAnsi" w:cstheme="minorHAnsi"/>
          <w:sz w:val="24"/>
          <w:szCs w:val="24"/>
        </w:rPr>
        <w:t>.</w:t>
      </w:r>
    </w:p>
    <w:p w:rsidR="004C0E19" w:rsidRPr="0062124A" w:rsidRDefault="004C0E19" w:rsidP="00201CFC">
      <w:pPr>
        <w:pStyle w:val="Odstavecseseznamem"/>
        <w:spacing w:before="60" w:after="60"/>
        <w:ind w:left="1418" w:hanging="567"/>
        <w:jc w:val="both"/>
        <w:rPr>
          <w:rFonts w:asciiTheme="minorHAnsi" w:hAnsiTheme="minorHAnsi" w:cstheme="minorHAnsi"/>
          <w:sz w:val="24"/>
          <w:szCs w:val="24"/>
        </w:rPr>
      </w:pPr>
      <w:r w:rsidRPr="0062124A">
        <w:rPr>
          <w:rFonts w:asciiTheme="minorHAnsi" w:hAnsiTheme="minorHAnsi" w:cstheme="minorHAnsi"/>
          <w:b/>
          <w:sz w:val="24"/>
          <w:szCs w:val="24"/>
        </w:rPr>
        <w:t>CPI</w:t>
      </w:r>
      <w:r w:rsidRPr="0062124A">
        <w:rPr>
          <w:rFonts w:asciiTheme="minorHAnsi" w:hAnsiTheme="minorHAnsi" w:cstheme="minorHAnsi"/>
          <w:b/>
          <w:sz w:val="24"/>
          <w:szCs w:val="24"/>
        </w:rPr>
        <w:tab/>
      </w:r>
      <w:r w:rsidRPr="0062124A">
        <w:rPr>
          <w:rFonts w:asciiTheme="minorHAnsi" w:hAnsiTheme="minorHAnsi" w:cstheme="minorHAnsi"/>
          <w:sz w:val="24"/>
          <w:szCs w:val="24"/>
        </w:rPr>
        <w:t xml:space="preserve">Index nárůstu průměrné měsíční mzdy (v odvětví průmyslu) za 1. - 4. čtvrtletí kalendářního roku bezprostředně předcházejícího roku, v němž je cena stanovována. Index je zveřejněný Českým statistickým úřadem (dále jen „ČSÚ“), </w:t>
      </w:r>
      <w:r>
        <w:rPr>
          <w:rFonts w:asciiTheme="minorHAnsi" w:hAnsiTheme="minorHAnsi" w:cstheme="minorHAnsi"/>
          <w:sz w:val="24"/>
          <w:szCs w:val="24"/>
        </w:rPr>
        <w:t xml:space="preserve">tabulka </w:t>
      </w:r>
      <w:r w:rsidRPr="0062124A">
        <w:rPr>
          <w:rFonts w:asciiTheme="minorHAnsi" w:hAnsiTheme="minorHAnsi" w:cstheme="minorHAnsi"/>
          <w:sz w:val="24"/>
          <w:szCs w:val="24"/>
        </w:rPr>
        <w:t xml:space="preserve">„Počet zaměstnanců a průměrné hrubé měsíční mzdy podle CZ-NACE (fyzické osoby)“, </w:t>
      </w:r>
      <w:r w:rsidR="007B03E1">
        <w:rPr>
          <w:rFonts w:asciiTheme="minorHAnsi" w:hAnsiTheme="minorHAnsi" w:cstheme="minorHAnsi"/>
          <w:sz w:val="24"/>
          <w:szCs w:val="24"/>
        </w:rPr>
        <w:t xml:space="preserve">řádek indexu „Průmysl celkem </w:t>
      </w:r>
      <w:r w:rsidR="007B03E1" w:rsidRPr="0062124A">
        <w:rPr>
          <w:rFonts w:asciiTheme="minorHAnsi" w:hAnsiTheme="minorHAnsi" w:cstheme="minorHAnsi"/>
          <w:sz w:val="24"/>
          <w:szCs w:val="24"/>
        </w:rPr>
        <w:t>B-E</w:t>
      </w:r>
      <w:r w:rsidR="007B03E1">
        <w:rPr>
          <w:rFonts w:asciiTheme="minorHAnsi" w:hAnsiTheme="minorHAnsi" w:cstheme="minorHAnsi"/>
          <w:sz w:val="24"/>
          <w:szCs w:val="24"/>
        </w:rPr>
        <w:t>“</w:t>
      </w:r>
      <w:r>
        <w:rPr>
          <w:rFonts w:asciiTheme="minorHAnsi" w:hAnsiTheme="minorHAnsi" w:cstheme="minorHAnsi"/>
          <w:sz w:val="24"/>
          <w:szCs w:val="24"/>
        </w:rPr>
        <w:t>.</w:t>
      </w:r>
    </w:p>
    <w:p w:rsidR="004C0E19" w:rsidRPr="0062124A" w:rsidRDefault="004C0E19" w:rsidP="00201CFC">
      <w:pPr>
        <w:pStyle w:val="Odstavecseseznamem"/>
        <w:spacing w:before="60" w:after="60"/>
        <w:ind w:left="1418" w:hanging="567"/>
        <w:rPr>
          <w:rFonts w:asciiTheme="minorHAnsi" w:hAnsiTheme="minorHAnsi" w:cstheme="minorHAnsi"/>
          <w:sz w:val="24"/>
          <w:szCs w:val="24"/>
        </w:rPr>
      </w:pPr>
      <w:r w:rsidRPr="0062124A">
        <w:rPr>
          <w:rFonts w:asciiTheme="minorHAnsi" w:hAnsiTheme="minorHAnsi" w:cstheme="minorHAnsi"/>
          <w:b/>
          <w:sz w:val="24"/>
          <w:szCs w:val="24"/>
        </w:rPr>
        <w:t>PPI</w:t>
      </w:r>
      <w:r w:rsidRPr="0062124A">
        <w:rPr>
          <w:rFonts w:asciiTheme="minorHAnsi" w:hAnsiTheme="minorHAnsi" w:cstheme="minorHAnsi"/>
          <w:b/>
          <w:sz w:val="24"/>
          <w:szCs w:val="24"/>
        </w:rPr>
        <w:tab/>
      </w:r>
      <w:r w:rsidRPr="0062124A">
        <w:rPr>
          <w:rFonts w:asciiTheme="minorHAnsi" w:hAnsiTheme="minorHAnsi" w:cstheme="minorHAnsi"/>
          <w:sz w:val="24"/>
          <w:szCs w:val="24"/>
        </w:rPr>
        <w:t xml:space="preserve">Index cen průmyslových výrobců (podíl průměrů indexů za posledních 12 měsíců k průměru indexů za bezprostředně předchozích 12 měsíců) za měsíc březen příslušného roku. Index je zveřejněný ČSÚ, tabulka </w:t>
      </w:r>
      <w:r>
        <w:rPr>
          <w:rFonts w:asciiTheme="minorHAnsi" w:hAnsiTheme="minorHAnsi" w:cstheme="minorHAnsi"/>
          <w:sz w:val="24"/>
          <w:szCs w:val="24"/>
        </w:rPr>
        <w:t>„</w:t>
      </w:r>
      <w:r w:rsidRPr="0062124A">
        <w:rPr>
          <w:rFonts w:asciiTheme="minorHAnsi" w:hAnsiTheme="minorHAnsi" w:cstheme="minorHAnsi"/>
          <w:sz w:val="24"/>
          <w:szCs w:val="24"/>
        </w:rPr>
        <w:t>Index cen průmyslových výrobců podle sekce a subsekce CZ-CPA v České republice (podíl klouzavých průměrů</w:t>
      </w:r>
      <w:r>
        <w:rPr>
          <w:rFonts w:asciiTheme="minorHAnsi" w:hAnsiTheme="minorHAnsi" w:cstheme="minorHAnsi"/>
          <w:sz w:val="24"/>
          <w:szCs w:val="24"/>
        </w:rPr>
        <w:t>)“</w:t>
      </w:r>
      <w:r w:rsidRPr="0062124A">
        <w:rPr>
          <w:rFonts w:asciiTheme="minorHAnsi" w:hAnsiTheme="minorHAnsi" w:cstheme="minorHAnsi"/>
          <w:sz w:val="24"/>
          <w:szCs w:val="24"/>
        </w:rPr>
        <w:t xml:space="preserve">, </w:t>
      </w:r>
      <w:r w:rsidR="007B03E1">
        <w:rPr>
          <w:rFonts w:asciiTheme="minorHAnsi" w:hAnsiTheme="minorHAnsi" w:cstheme="minorHAnsi"/>
          <w:sz w:val="24"/>
          <w:szCs w:val="24"/>
        </w:rPr>
        <w:t>řádek indexu „</w:t>
      </w:r>
      <w:r w:rsidR="00A33E92">
        <w:rPr>
          <w:rFonts w:asciiTheme="minorHAnsi" w:hAnsiTheme="minorHAnsi" w:cstheme="minorHAnsi"/>
          <w:sz w:val="24"/>
          <w:szCs w:val="24"/>
        </w:rPr>
        <w:t>Ú</w:t>
      </w:r>
      <w:r w:rsidR="007B03E1" w:rsidRPr="0062124A">
        <w:rPr>
          <w:rFonts w:asciiTheme="minorHAnsi" w:hAnsiTheme="minorHAnsi" w:cstheme="minorHAnsi"/>
          <w:sz w:val="24"/>
          <w:szCs w:val="24"/>
        </w:rPr>
        <w:t>hrn B</w:t>
      </w:r>
      <w:r w:rsidR="007B03E1">
        <w:rPr>
          <w:rFonts w:asciiTheme="minorHAnsi" w:hAnsiTheme="minorHAnsi" w:cstheme="minorHAnsi"/>
          <w:sz w:val="24"/>
          <w:szCs w:val="24"/>
        </w:rPr>
        <w:t>,</w:t>
      </w:r>
      <w:r w:rsidR="007B03E1" w:rsidRPr="0062124A">
        <w:rPr>
          <w:rFonts w:asciiTheme="minorHAnsi" w:hAnsiTheme="minorHAnsi" w:cstheme="minorHAnsi"/>
          <w:sz w:val="24"/>
          <w:szCs w:val="24"/>
        </w:rPr>
        <w:t>C</w:t>
      </w:r>
      <w:r w:rsidR="007B03E1">
        <w:rPr>
          <w:rFonts w:asciiTheme="minorHAnsi" w:hAnsiTheme="minorHAnsi" w:cstheme="minorHAnsi"/>
          <w:sz w:val="24"/>
          <w:szCs w:val="24"/>
        </w:rPr>
        <w:t>,</w:t>
      </w:r>
      <w:r w:rsidR="007B03E1" w:rsidRPr="0062124A">
        <w:rPr>
          <w:rFonts w:asciiTheme="minorHAnsi" w:hAnsiTheme="minorHAnsi" w:cstheme="minorHAnsi"/>
          <w:sz w:val="24"/>
          <w:szCs w:val="24"/>
        </w:rPr>
        <w:t>D</w:t>
      </w:r>
      <w:r w:rsidR="007B03E1">
        <w:rPr>
          <w:rFonts w:asciiTheme="minorHAnsi" w:hAnsiTheme="minorHAnsi" w:cstheme="minorHAnsi"/>
          <w:sz w:val="24"/>
          <w:szCs w:val="24"/>
        </w:rPr>
        <w:t>,</w:t>
      </w:r>
      <w:r w:rsidR="007B03E1" w:rsidRPr="0062124A">
        <w:rPr>
          <w:rFonts w:asciiTheme="minorHAnsi" w:hAnsiTheme="minorHAnsi" w:cstheme="minorHAnsi"/>
          <w:sz w:val="24"/>
          <w:szCs w:val="24"/>
        </w:rPr>
        <w:t>E</w:t>
      </w:r>
      <w:r w:rsidR="007B03E1">
        <w:rPr>
          <w:rFonts w:asciiTheme="minorHAnsi" w:hAnsiTheme="minorHAnsi" w:cstheme="minorHAnsi"/>
          <w:sz w:val="24"/>
          <w:szCs w:val="24"/>
        </w:rPr>
        <w:t>“</w:t>
      </w:r>
      <w:r>
        <w:rPr>
          <w:rFonts w:asciiTheme="minorHAnsi" w:hAnsiTheme="minorHAnsi" w:cstheme="minorHAnsi"/>
          <w:sz w:val="24"/>
          <w:szCs w:val="24"/>
        </w:rPr>
        <w:t>.</w:t>
      </w:r>
    </w:p>
    <w:p w:rsidR="00C74A0A" w:rsidRPr="00122E86" w:rsidRDefault="002369FD" w:rsidP="00637D86">
      <w:pPr>
        <w:pStyle w:val="Odstavecseseznamem"/>
        <w:numPr>
          <w:ilvl w:val="0"/>
          <w:numId w:val="20"/>
        </w:numPr>
        <w:tabs>
          <w:tab w:val="clear" w:pos="720"/>
        </w:tabs>
        <w:spacing w:before="60" w:after="0"/>
        <w:ind w:left="426" w:hanging="426"/>
        <w:contextualSpacing/>
        <w:jc w:val="both"/>
        <w:rPr>
          <w:rFonts w:asciiTheme="minorHAnsi" w:hAnsiTheme="minorHAnsi" w:cstheme="minorHAnsi"/>
          <w:sz w:val="24"/>
          <w:szCs w:val="24"/>
        </w:rPr>
      </w:pPr>
      <w:r w:rsidRPr="002369FD">
        <w:rPr>
          <w:rFonts w:asciiTheme="minorHAnsi" w:hAnsiTheme="minorHAnsi" w:cstheme="minorHAnsi"/>
          <w:sz w:val="24"/>
          <w:szCs w:val="24"/>
        </w:rPr>
        <w:t>Roční platba za službu uskladňování neobsahují žádné daně ani jiné poplatky a ty budou připočteny ve výši a způsobem uvedeným obecně závaznými právními předpisy.</w:t>
      </w:r>
      <w:r w:rsidR="00122E86">
        <w:rPr>
          <w:rFonts w:asciiTheme="minorHAnsi" w:hAnsiTheme="minorHAnsi" w:cstheme="minorHAnsi"/>
          <w:sz w:val="24"/>
          <w:szCs w:val="24"/>
        </w:rPr>
        <w:t xml:space="preserve"> </w:t>
      </w:r>
      <w:r w:rsidR="00C74A0A" w:rsidRPr="00122E86">
        <w:rPr>
          <w:rFonts w:asciiTheme="minorHAnsi" w:hAnsiTheme="minorHAnsi" w:cstheme="minorHAnsi"/>
          <w:sz w:val="24"/>
          <w:szCs w:val="24"/>
        </w:rPr>
        <w:t xml:space="preserve">Celková roční </w:t>
      </w:r>
      <w:r w:rsidR="00932CD3" w:rsidRPr="00122E86">
        <w:rPr>
          <w:rFonts w:asciiTheme="minorHAnsi" w:hAnsiTheme="minorHAnsi" w:cstheme="minorHAnsi"/>
          <w:sz w:val="24"/>
          <w:szCs w:val="24"/>
        </w:rPr>
        <w:t xml:space="preserve">platba </w:t>
      </w:r>
      <w:r w:rsidR="00C74A0A" w:rsidRPr="00122E86">
        <w:rPr>
          <w:rFonts w:asciiTheme="minorHAnsi" w:hAnsiTheme="minorHAnsi" w:cstheme="minorHAnsi"/>
          <w:sz w:val="24"/>
          <w:szCs w:val="24"/>
        </w:rPr>
        <w:t xml:space="preserve">za služby </w:t>
      </w:r>
      <w:r w:rsidR="00932CD3" w:rsidRPr="00122E86">
        <w:rPr>
          <w:rFonts w:asciiTheme="minorHAnsi" w:hAnsiTheme="minorHAnsi" w:cstheme="minorHAnsi"/>
          <w:sz w:val="24"/>
          <w:szCs w:val="24"/>
        </w:rPr>
        <w:t>uskladňování</w:t>
      </w:r>
      <w:r w:rsidR="00C74A0A" w:rsidRPr="00122E86">
        <w:rPr>
          <w:rFonts w:asciiTheme="minorHAnsi" w:hAnsiTheme="minorHAnsi" w:cstheme="minorHAnsi"/>
          <w:sz w:val="24"/>
          <w:szCs w:val="24"/>
        </w:rPr>
        <w:t xml:space="preserve"> se vypočte jako součet roční ceny za </w:t>
      </w:r>
      <w:r w:rsidR="00932CD3" w:rsidRPr="00122E86">
        <w:rPr>
          <w:rFonts w:asciiTheme="minorHAnsi" w:hAnsiTheme="minorHAnsi" w:cstheme="minorHAnsi"/>
          <w:sz w:val="24"/>
          <w:szCs w:val="24"/>
        </w:rPr>
        <w:t>uskladňování</w:t>
      </w:r>
      <w:r w:rsidR="00C74A0A" w:rsidRPr="00122E86">
        <w:rPr>
          <w:rFonts w:asciiTheme="minorHAnsi" w:hAnsiTheme="minorHAnsi" w:cstheme="minorHAnsi"/>
          <w:sz w:val="24"/>
          <w:szCs w:val="24"/>
        </w:rPr>
        <w:t xml:space="preserve"> plynu</w:t>
      </w:r>
      <w:r w:rsidR="005F1437" w:rsidRPr="00122E86">
        <w:rPr>
          <w:rFonts w:asciiTheme="minorHAnsi" w:hAnsiTheme="minorHAnsi" w:cstheme="minorHAnsi"/>
          <w:sz w:val="24"/>
          <w:szCs w:val="24"/>
        </w:rPr>
        <w:t xml:space="preserve"> a</w:t>
      </w:r>
      <w:r w:rsidR="00C74A0A" w:rsidRPr="00122E86">
        <w:rPr>
          <w:rFonts w:asciiTheme="minorHAnsi" w:hAnsiTheme="minorHAnsi" w:cstheme="minorHAnsi"/>
          <w:sz w:val="24"/>
          <w:szCs w:val="24"/>
        </w:rPr>
        <w:t xml:space="preserve"> roční ceny za činnosti související s uskladňováním plynu</w:t>
      </w:r>
      <w:r w:rsidR="00BE57E0" w:rsidRPr="00122E86">
        <w:rPr>
          <w:rFonts w:asciiTheme="minorHAnsi" w:hAnsiTheme="minorHAnsi" w:cstheme="minorHAnsi"/>
          <w:sz w:val="24"/>
          <w:szCs w:val="24"/>
        </w:rPr>
        <w:t>:</w:t>
      </w:r>
    </w:p>
    <w:p w:rsidR="00C74A0A" w:rsidRPr="00C74A0A" w:rsidRDefault="00C74A0A" w:rsidP="00201CFC">
      <w:pPr>
        <w:pStyle w:val="Odstavecseseznamem"/>
        <w:spacing w:before="120" w:after="120"/>
        <w:ind w:left="426" w:hanging="426"/>
        <w:jc w:val="center"/>
        <w:rPr>
          <w:rFonts w:asciiTheme="minorHAnsi" w:hAnsiTheme="minorHAnsi" w:cstheme="minorHAnsi"/>
          <w:b/>
          <w:sz w:val="24"/>
          <w:szCs w:val="24"/>
        </w:rPr>
      </w:pPr>
      <w:r w:rsidRPr="00C74A0A">
        <w:rPr>
          <w:rFonts w:asciiTheme="minorHAnsi" w:hAnsiTheme="minorHAnsi" w:cstheme="minorHAnsi"/>
          <w:b/>
          <w:sz w:val="24"/>
          <w:szCs w:val="24"/>
        </w:rPr>
        <w:lastRenderedPageBreak/>
        <w:t>C</w:t>
      </w:r>
      <w:r w:rsidRPr="00C74A0A">
        <w:rPr>
          <w:rFonts w:asciiTheme="minorHAnsi" w:hAnsiTheme="minorHAnsi" w:cstheme="minorHAnsi"/>
          <w:b/>
          <w:sz w:val="24"/>
          <w:szCs w:val="24"/>
          <w:vertAlign w:val="subscript"/>
        </w:rPr>
        <w:t xml:space="preserve">R </w:t>
      </w:r>
      <w:r w:rsidRPr="00C74A0A">
        <w:rPr>
          <w:rFonts w:asciiTheme="minorHAnsi" w:hAnsiTheme="minorHAnsi" w:cstheme="minorHAnsi"/>
          <w:b/>
          <w:sz w:val="24"/>
          <w:szCs w:val="24"/>
        </w:rPr>
        <w:t>= C</w:t>
      </w:r>
      <w:r w:rsidRPr="00C74A0A">
        <w:rPr>
          <w:rFonts w:asciiTheme="minorHAnsi" w:hAnsiTheme="minorHAnsi" w:cstheme="minorHAnsi"/>
          <w:b/>
          <w:sz w:val="24"/>
          <w:szCs w:val="24"/>
          <w:vertAlign w:val="subscript"/>
        </w:rPr>
        <w:t xml:space="preserve">PZP </w:t>
      </w:r>
      <w:r w:rsidRPr="00C74A0A">
        <w:rPr>
          <w:rFonts w:asciiTheme="minorHAnsi" w:hAnsiTheme="minorHAnsi" w:cstheme="minorHAnsi"/>
          <w:b/>
          <w:sz w:val="24"/>
          <w:szCs w:val="24"/>
        </w:rPr>
        <w:t>+  C</w:t>
      </w:r>
      <w:r w:rsidRPr="00C74A0A">
        <w:rPr>
          <w:rFonts w:asciiTheme="minorHAnsi" w:hAnsiTheme="minorHAnsi" w:cstheme="minorHAnsi"/>
          <w:b/>
          <w:sz w:val="24"/>
          <w:szCs w:val="24"/>
          <w:vertAlign w:val="subscript"/>
        </w:rPr>
        <w:t>SC</w:t>
      </w:r>
    </w:p>
    <w:p w:rsidR="00C74A0A" w:rsidRPr="00C74A0A" w:rsidRDefault="00C74A0A" w:rsidP="00201CFC">
      <w:pPr>
        <w:pStyle w:val="Odstavecseseznamem"/>
        <w:spacing w:before="60" w:after="60"/>
        <w:ind w:left="1418" w:hanging="567"/>
        <w:jc w:val="both"/>
        <w:rPr>
          <w:rFonts w:asciiTheme="minorHAnsi" w:hAnsiTheme="minorHAnsi" w:cstheme="minorHAnsi"/>
          <w:sz w:val="24"/>
          <w:szCs w:val="24"/>
        </w:rPr>
      </w:pPr>
      <w:r w:rsidRPr="00C74A0A">
        <w:rPr>
          <w:rFonts w:asciiTheme="minorHAnsi" w:hAnsiTheme="minorHAnsi" w:cstheme="minorHAnsi"/>
          <w:b/>
          <w:sz w:val="24"/>
          <w:szCs w:val="24"/>
        </w:rPr>
        <w:t>C</w:t>
      </w:r>
      <w:r w:rsidRPr="00C74A0A">
        <w:rPr>
          <w:rFonts w:asciiTheme="minorHAnsi" w:hAnsiTheme="minorHAnsi" w:cstheme="minorHAnsi"/>
          <w:b/>
          <w:sz w:val="24"/>
          <w:szCs w:val="24"/>
          <w:vertAlign w:val="subscript"/>
        </w:rPr>
        <w:t>R</w:t>
      </w:r>
      <w:r w:rsidR="00E93FCC">
        <w:rPr>
          <w:rFonts w:asciiTheme="minorHAnsi" w:hAnsiTheme="minorHAnsi" w:cstheme="minorHAnsi"/>
          <w:b/>
          <w:sz w:val="24"/>
          <w:szCs w:val="24"/>
        </w:rPr>
        <w:tab/>
      </w:r>
      <w:r w:rsidR="00594B3A">
        <w:rPr>
          <w:rFonts w:asciiTheme="minorHAnsi" w:hAnsiTheme="minorHAnsi" w:cstheme="minorHAnsi"/>
          <w:sz w:val="24"/>
          <w:szCs w:val="24"/>
        </w:rPr>
        <w:t>C</w:t>
      </w:r>
      <w:r w:rsidRPr="00C74A0A">
        <w:rPr>
          <w:rFonts w:asciiTheme="minorHAnsi" w:hAnsiTheme="minorHAnsi" w:cstheme="minorHAnsi"/>
          <w:sz w:val="24"/>
          <w:szCs w:val="24"/>
        </w:rPr>
        <w:t xml:space="preserve">elková roční cena za služby </w:t>
      </w:r>
      <w:r w:rsidR="00932CD3">
        <w:rPr>
          <w:rFonts w:asciiTheme="minorHAnsi" w:hAnsiTheme="minorHAnsi" w:cstheme="minorHAnsi"/>
          <w:sz w:val="24"/>
          <w:szCs w:val="24"/>
        </w:rPr>
        <w:t>uskladňování</w:t>
      </w:r>
      <w:r w:rsidRPr="00C74A0A">
        <w:rPr>
          <w:rFonts w:asciiTheme="minorHAnsi" w:hAnsiTheme="minorHAnsi" w:cstheme="minorHAnsi"/>
          <w:sz w:val="24"/>
          <w:szCs w:val="24"/>
        </w:rPr>
        <w:t xml:space="preserve"> vyjádřen</w:t>
      </w:r>
      <w:r w:rsidR="0037140F">
        <w:rPr>
          <w:rFonts w:asciiTheme="minorHAnsi" w:hAnsiTheme="minorHAnsi" w:cstheme="minorHAnsi"/>
          <w:sz w:val="24"/>
          <w:szCs w:val="24"/>
        </w:rPr>
        <w:t>á</w:t>
      </w:r>
      <w:r w:rsidRPr="00C74A0A">
        <w:rPr>
          <w:rFonts w:asciiTheme="minorHAnsi" w:hAnsiTheme="minorHAnsi" w:cstheme="minorHAnsi"/>
          <w:sz w:val="24"/>
          <w:szCs w:val="24"/>
        </w:rPr>
        <w:t xml:space="preserve"> v Kč/rok</w:t>
      </w:r>
      <w:r w:rsidR="00594B3A">
        <w:rPr>
          <w:rFonts w:asciiTheme="minorHAnsi" w:hAnsiTheme="minorHAnsi" w:cstheme="minorHAnsi"/>
          <w:sz w:val="24"/>
          <w:szCs w:val="24"/>
        </w:rPr>
        <w:t>.</w:t>
      </w:r>
    </w:p>
    <w:p w:rsidR="00C74A0A" w:rsidRDefault="00C74A0A" w:rsidP="00201CFC">
      <w:pPr>
        <w:pStyle w:val="Odstavecseseznamem"/>
        <w:spacing w:before="60" w:after="60"/>
        <w:ind w:left="1418" w:hanging="567"/>
        <w:jc w:val="both"/>
        <w:rPr>
          <w:rFonts w:asciiTheme="minorHAnsi" w:hAnsiTheme="minorHAnsi" w:cstheme="minorHAnsi"/>
          <w:sz w:val="24"/>
          <w:szCs w:val="24"/>
        </w:rPr>
      </w:pPr>
      <w:r w:rsidRPr="00C74A0A">
        <w:rPr>
          <w:rFonts w:asciiTheme="minorHAnsi" w:hAnsiTheme="minorHAnsi" w:cstheme="minorHAnsi"/>
          <w:b/>
          <w:sz w:val="24"/>
          <w:szCs w:val="24"/>
        </w:rPr>
        <w:t>C</w:t>
      </w:r>
      <w:r w:rsidRPr="00C74A0A">
        <w:rPr>
          <w:rFonts w:asciiTheme="minorHAnsi" w:hAnsiTheme="minorHAnsi" w:cstheme="minorHAnsi"/>
          <w:b/>
          <w:sz w:val="24"/>
          <w:szCs w:val="24"/>
          <w:vertAlign w:val="subscript"/>
        </w:rPr>
        <w:t>PZ</w:t>
      </w:r>
      <w:r w:rsidR="002369FD">
        <w:rPr>
          <w:rFonts w:asciiTheme="minorHAnsi" w:hAnsiTheme="minorHAnsi" w:cstheme="minorHAnsi"/>
          <w:b/>
          <w:sz w:val="24"/>
          <w:szCs w:val="24"/>
          <w:vertAlign w:val="subscript"/>
        </w:rPr>
        <w:t>P</w:t>
      </w:r>
      <w:r w:rsidRPr="00C74A0A">
        <w:rPr>
          <w:rFonts w:asciiTheme="minorHAnsi" w:hAnsiTheme="minorHAnsi" w:cstheme="minorHAnsi"/>
          <w:sz w:val="24"/>
          <w:szCs w:val="24"/>
          <w:vertAlign w:val="subscript"/>
        </w:rPr>
        <w:t xml:space="preserve"> </w:t>
      </w:r>
      <w:r w:rsidR="00594B3A">
        <w:rPr>
          <w:rFonts w:asciiTheme="minorHAnsi" w:hAnsiTheme="minorHAnsi" w:cstheme="minorHAnsi"/>
          <w:sz w:val="24"/>
          <w:szCs w:val="24"/>
          <w:vertAlign w:val="subscript"/>
        </w:rPr>
        <w:tab/>
      </w:r>
      <w:r w:rsidR="00594B3A">
        <w:rPr>
          <w:rFonts w:asciiTheme="minorHAnsi" w:hAnsiTheme="minorHAnsi" w:cstheme="minorHAnsi"/>
          <w:sz w:val="24"/>
          <w:szCs w:val="24"/>
        </w:rPr>
        <w:t>R</w:t>
      </w:r>
      <w:r w:rsidRPr="00C74A0A">
        <w:rPr>
          <w:rFonts w:asciiTheme="minorHAnsi" w:hAnsiTheme="minorHAnsi" w:cstheme="minorHAnsi"/>
          <w:sz w:val="24"/>
          <w:szCs w:val="24"/>
        </w:rPr>
        <w:t xml:space="preserve">oční cena za </w:t>
      </w:r>
      <w:r w:rsidR="00932CD3">
        <w:rPr>
          <w:rFonts w:asciiTheme="minorHAnsi" w:hAnsiTheme="minorHAnsi" w:cstheme="minorHAnsi"/>
          <w:sz w:val="24"/>
          <w:szCs w:val="24"/>
        </w:rPr>
        <w:t>uskladňování</w:t>
      </w:r>
      <w:r w:rsidRPr="00C74A0A">
        <w:rPr>
          <w:rFonts w:asciiTheme="minorHAnsi" w:hAnsiTheme="minorHAnsi" w:cstheme="minorHAnsi"/>
          <w:sz w:val="24"/>
          <w:szCs w:val="24"/>
        </w:rPr>
        <w:t xml:space="preserve"> zemního plynu vyjádřená v Kč/rok a vypočte se vynásobením roční jednotkové ceny za </w:t>
      </w:r>
      <w:r w:rsidR="00932CD3">
        <w:rPr>
          <w:rFonts w:asciiTheme="minorHAnsi" w:hAnsiTheme="minorHAnsi" w:cstheme="minorHAnsi"/>
          <w:sz w:val="24"/>
          <w:szCs w:val="24"/>
        </w:rPr>
        <w:t>uskladňování</w:t>
      </w:r>
      <w:r w:rsidRPr="00C74A0A">
        <w:rPr>
          <w:rFonts w:asciiTheme="minorHAnsi" w:hAnsiTheme="minorHAnsi" w:cstheme="minorHAnsi"/>
          <w:sz w:val="24"/>
          <w:szCs w:val="24"/>
        </w:rPr>
        <w:t xml:space="preserve"> zemního plynu, účinné pro příslušný rok a provozním objemem (Po)</w:t>
      </w:r>
      <w:r w:rsidR="00594B3A">
        <w:rPr>
          <w:rFonts w:asciiTheme="minorHAnsi" w:hAnsiTheme="minorHAnsi" w:cstheme="minorHAnsi"/>
          <w:sz w:val="24"/>
          <w:szCs w:val="24"/>
        </w:rPr>
        <w:t>.</w:t>
      </w:r>
    </w:p>
    <w:p w:rsidR="0037140F" w:rsidRPr="00C74A0A" w:rsidRDefault="0037140F" w:rsidP="00201CFC">
      <w:pPr>
        <w:pStyle w:val="Odstavecseseznamem"/>
        <w:spacing w:before="60" w:after="0"/>
        <w:ind w:left="1418" w:hanging="567"/>
        <w:jc w:val="both"/>
        <w:rPr>
          <w:rFonts w:asciiTheme="minorHAnsi" w:hAnsiTheme="minorHAnsi" w:cstheme="minorHAnsi"/>
          <w:sz w:val="24"/>
          <w:szCs w:val="24"/>
        </w:rPr>
      </w:pPr>
      <w:r w:rsidRPr="00C74A0A">
        <w:rPr>
          <w:rFonts w:asciiTheme="minorHAnsi" w:hAnsiTheme="minorHAnsi" w:cstheme="minorHAnsi"/>
          <w:b/>
          <w:sz w:val="24"/>
          <w:szCs w:val="24"/>
        </w:rPr>
        <w:t>C</w:t>
      </w:r>
      <w:r w:rsidRPr="00C74A0A">
        <w:rPr>
          <w:rFonts w:asciiTheme="minorHAnsi" w:hAnsiTheme="minorHAnsi" w:cstheme="minorHAnsi"/>
          <w:b/>
          <w:sz w:val="24"/>
          <w:szCs w:val="24"/>
          <w:vertAlign w:val="subscript"/>
        </w:rPr>
        <w:t>SC</w:t>
      </w:r>
      <w:r w:rsidR="00E93FCC">
        <w:rPr>
          <w:rFonts w:asciiTheme="minorHAnsi" w:hAnsiTheme="minorHAnsi" w:cstheme="minorHAnsi"/>
          <w:b/>
          <w:sz w:val="24"/>
          <w:szCs w:val="24"/>
        </w:rPr>
        <w:tab/>
      </w:r>
      <w:r w:rsidRPr="00C74A0A">
        <w:rPr>
          <w:rFonts w:asciiTheme="minorHAnsi" w:hAnsiTheme="minorHAnsi" w:cstheme="minorHAnsi"/>
          <w:sz w:val="24"/>
          <w:szCs w:val="24"/>
        </w:rPr>
        <w:t>je roční cena za činnosti související s uskladňováním plynu</w:t>
      </w:r>
      <w:r>
        <w:rPr>
          <w:rFonts w:asciiTheme="minorHAnsi" w:hAnsiTheme="minorHAnsi" w:cstheme="minorHAnsi"/>
          <w:sz w:val="24"/>
          <w:szCs w:val="24"/>
        </w:rPr>
        <w:t xml:space="preserve"> vyjádřená v Kč/rok</w:t>
      </w:r>
      <w:r w:rsidR="00594B3A">
        <w:rPr>
          <w:rFonts w:asciiTheme="minorHAnsi" w:hAnsiTheme="minorHAnsi" w:cstheme="minorHAnsi"/>
          <w:sz w:val="24"/>
          <w:szCs w:val="24"/>
        </w:rPr>
        <w:t>.</w:t>
      </w:r>
    </w:p>
    <w:p w:rsidR="006E5F0B" w:rsidRPr="00201CFC" w:rsidRDefault="006E5F0B" w:rsidP="00637D86">
      <w:pPr>
        <w:pStyle w:val="Odstavecseseznamem"/>
        <w:numPr>
          <w:ilvl w:val="0"/>
          <w:numId w:val="20"/>
        </w:numPr>
        <w:spacing w:before="60" w:after="60"/>
        <w:ind w:left="426" w:hanging="426"/>
        <w:rPr>
          <w:rFonts w:asciiTheme="minorHAnsi" w:hAnsiTheme="minorHAnsi"/>
          <w:sz w:val="24"/>
        </w:rPr>
      </w:pPr>
      <w:r w:rsidRPr="00201CFC">
        <w:rPr>
          <w:rFonts w:asciiTheme="minorHAnsi" w:hAnsiTheme="minorHAnsi"/>
          <w:sz w:val="24"/>
        </w:rPr>
        <w:t xml:space="preserve">Celková měsíční cena za služby uskladňování </w:t>
      </w:r>
      <w:r w:rsidR="00AB56CF">
        <w:rPr>
          <w:rFonts w:asciiTheme="minorHAnsi" w:hAnsiTheme="minorHAnsi"/>
          <w:sz w:val="24"/>
        </w:rPr>
        <w:t xml:space="preserve">je </w:t>
      </w:r>
      <w:r w:rsidRPr="00201CFC">
        <w:rPr>
          <w:rFonts w:asciiTheme="minorHAnsi" w:hAnsiTheme="minorHAnsi"/>
          <w:sz w:val="24"/>
        </w:rPr>
        <w:t>vyjádřená v Kč/měsíc a vypočte se jako 1/12 celkové roční ceny C</w:t>
      </w:r>
      <w:r w:rsidRPr="00AB56CF">
        <w:rPr>
          <w:rFonts w:asciiTheme="minorHAnsi" w:hAnsiTheme="minorHAnsi"/>
          <w:sz w:val="24"/>
          <w:vertAlign w:val="subscript"/>
        </w:rPr>
        <w:t>R</w:t>
      </w:r>
      <w:r w:rsidRPr="00201CFC">
        <w:rPr>
          <w:rFonts w:asciiTheme="minorHAnsi" w:hAnsiTheme="minorHAnsi"/>
          <w:sz w:val="24"/>
        </w:rPr>
        <w:t>.</w:t>
      </w:r>
    </w:p>
    <w:p w:rsidR="006E5F0B" w:rsidRPr="00201CFC" w:rsidRDefault="006E5F0B" w:rsidP="00637D86">
      <w:pPr>
        <w:pStyle w:val="Odstavecseseznamem"/>
        <w:numPr>
          <w:ilvl w:val="0"/>
          <w:numId w:val="20"/>
        </w:numPr>
        <w:spacing w:before="60" w:after="60"/>
        <w:ind w:left="426" w:hanging="426"/>
        <w:rPr>
          <w:rFonts w:asciiTheme="minorHAnsi" w:hAnsiTheme="minorHAnsi"/>
          <w:sz w:val="24"/>
        </w:rPr>
      </w:pPr>
      <w:r w:rsidRPr="00201CFC">
        <w:rPr>
          <w:rFonts w:asciiTheme="minorHAnsi" w:hAnsiTheme="minorHAnsi"/>
          <w:sz w:val="24"/>
        </w:rPr>
        <w:t>Pokud není uvedeno jinak, pak veškeré ceny a cenová ustanovení, která jsou spojena se slovem měsíc, jsou uvažována na období plynárenského měsíce, a která jsou spojena se slovem rok, jsou uvažovány na období skladovacího roku.</w:t>
      </w:r>
    </w:p>
    <w:p w:rsidR="00D932A0" w:rsidRPr="00D06F76" w:rsidRDefault="00D932A0" w:rsidP="00201CFC">
      <w:pPr>
        <w:spacing w:before="240" w:line="276" w:lineRule="auto"/>
        <w:jc w:val="center"/>
        <w:rPr>
          <w:rFonts w:ascii="Calibri" w:hAnsi="Calibri"/>
          <w:b/>
        </w:rPr>
      </w:pPr>
      <w:r w:rsidRPr="00D06F76">
        <w:rPr>
          <w:rFonts w:ascii="Calibri" w:hAnsi="Calibri"/>
          <w:b/>
        </w:rPr>
        <w:t>V. Platební podmínky</w:t>
      </w:r>
    </w:p>
    <w:p w:rsidR="00D932A0" w:rsidRPr="00D06F76" w:rsidRDefault="00D932A0" w:rsidP="00201CFC">
      <w:pPr>
        <w:widowControl/>
        <w:numPr>
          <w:ilvl w:val="0"/>
          <w:numId w:val="11"/>
        </w:numPr>
        <w:tabs>
          <w:tab w:val="clear" w:pos="720"/>
        </w:tabs>
        <w:overflowPunct/>
        <w:autoSpaceDE/>
        <w:autoSpaceDN/>
        <w:adjustRightInd/>
        <w:spacing w:before="60" w:after="60" w:line="276" w:lineRule="auto"/>
        <w:ind w:left="425" w:hanging="425"/>
        <w:textAlignment w:val="auto"/>
        <w:rPr>
          <w:rFonts w:ascii="Calibri" w:hAnsi="Calibri"/>
        </w:rPr>
      </w:pPr>
      <w:r w:rsidRPr="00D06F76">
        <w:rPr>
          <w:rFonts w:ascii="Calibri" w:hAnsi="Calibri"/>
        </w:rPr>
        <w:t>Ukladat</w:t>
      </w:r>
      <w:r w:rsidR="00E670F0">
        <w:rPr>
          <w:rFonts w:ascii="Calibri" w:hAnsi="Calibri"/>
        </w:rPr>
        <w:t>el je povinen za službu uskladňová</w:t>
      </w:r>
      <w:r w:rsidRPr="00D06F76">
        <w:rPr>
          <w:rFonts w:ascii="Calibri" w:hAnsi="Calibri"/>
        </w:rPr>
        <w:t>ní platit měsíčně (za každý plynárenský měsíc účinnosti Smlouvy) zpětně skladovateli celkovou</w:t>
      </w:r>
      <w:r w:rsidR="00E670F0">
        <w:rPr>
          <w:rFonts w:ascii="Calibri" w:hAnsi="Calibri"/>
        </w:rPr>
        <w:t xml:space="preserve"> měsíční cenu za službu uskladňová</w:t>
      </w:r>
      <w:r w:rsidRPr="00D06F76">
        <w:rPr>
          <w:rFonts w:ascii="Calibri" w:hAnsi="Calibri"/>
        </w:rPr>
        <w:t>ní, včetně všech daní a poplatků stanovených v souladu s obecně závaznými právními předpisy, vypočtenou za příslušný plynárenský měsíc v souladu s předchozím článkem, na základě daňového dokladu vystaveného skladovatelem. Daňový doklad za příslušný plynárenský měsíc je skladovatel povinen vystavit a z</w:t>
      </w:r>
      <w:r>
        <w:rPr>
          <w:rFonts w:ascii="Calibri" w:hAnsi="Calibri"/>
        </w:rPr>
        <w:t xml:space="preserve">aslat ukladateli nejpozději do </w:t>
      </w:r>
      <w:r w:rsidR="00CD4F6A">
        <w:rPr>
          <w:rFonts w:ascii="Calibri" w:hAnsi="Calibri"/>
        </w:rPr>
        <w:t>5</w:t>
      </w:r>
      <w:r w:rsidRPr="00D06F76">
        <w:rPr>
          <w:rFonts w:ascii="Calibri" w:hAnsi="Calibri"/>
        </w:rPr>
        <w:t>. pracovního dne kalendářního měsíce bezprostředně následujícího po měsíci, za který je tato cena stanovována.</w:t>
      </w:r>
    </w:p>
    <w:p w:rsidR="00D932A0" w:rsidRPr="00D06F76" w:rsidRDefault="00D932A0" w:rsidP="00201CFC">
      <w:pPr>
        <w:widowControl/>
        <w:numPr>
          <w:ilvl w:val="0"/>
          <w:numId w:val="11"/>
        </w:numPr>
        <w:tabs>
          <w:tab w:val="clear" w:pos="720"/>
        </w:tabs>
        <w:overflowPunct/>
        <w:autoSpaceDE/>
        <w:autoSpaceDN/>
        <w:adjustRightInd/>
        <w:spacing w:after="60" w:line="276" w:lineRule="auto"/>
        <w:ind w:left="425" w:hanging="425"/>
        <w:textAlignment w:val="auto"/>
        <w:rPr>
          <w:rFonts w:ascii="Calibri" w:hAnsi="Calibri"/>
        </w:rPr>
      </w:pPr>
      <w:r w:rsidRPr="00D06F76">
        <w:rPr>
          <w:rFonts w:ascii="Calibri" w:hAnsi="Calibri"/>
        </w:rPr>
        <w:t>Celkovou měsíční cenu z</w:t>
      </w:r>
      <w:r w:rsidR="00E670F0">
        <w:rPr>
          <w:rFonts w:ascii="Calibri" w:hAnsi="Calibri"/>
        </w:rPr>
        <w:t>a službu uskladňová</w:t>
      </w:r>
      <w:r>
        <w:rPr>
          <w:rFonts w:ascii="Calibri" w:hAnsi="Calibri"/>
        </w:rPr>
        <w:t>ní</w:t>
      </w:r>
      <w:r w:rsidRPr="00D06F76">
        <w:rPr>
          <w:rFonts w:ascii="Calibri" w:hAnsi="Calibri"/>
        </w:rPr>
        <w:t xml:space="preserve"> za příslušný plynárenský měsíc, je ukladatel povinen zaplati</w:t>
      </w:r>
      <w:r>
        <w:rPr>
          <w:rFonts w:ascii="Calibri" w:hAnsi="Calibri"/>
        </w:rPr>
        <w:t>t nejpozději do 15 kalendářních dnů od doručení příslušného daňového dokladu a t</w:t>
      </w:r>
      <w:r w:rsidRPr="00D06F76">
        <w:rPr>
          <w:rFonts w:ascii="Calibri" w:hAnsi="Calibri"/>
        </w:rPr>
        <w:t>o bezhotovostním převodem na účet skladovatele uvedený na daňovém dokladu.</w:t>
      </w:r>
    </w:p>
    <w:p w:rsidR="00D932A0" w:rsidRPr="00D06F76" w:rsidRDefault="00D932A0" w:rsidP="00201CFC">
      <w:pPr>
        <w:widowControl/>
        <w:numPr>
          <w:ilvl w:val="0"/>
          <w:numId w:val="11"/>
        </w:numPr>
        <w:tabs>
          <w:tab w:val="clear" w:pos="720"/>
        </w:tabs>
        <w:overflowPunct/>
        <w:autoSpaceDE/>
        <w:autoSpaceDN/>
        <w:adjustRightInd/>
        <w:spacing w:after="60" w:line="276" w:lineRule="auto"/>
        <w:ind w:left="425" w:hanging="425"/>
        <w:textAlignment w:val="auto"/>
        <w:rPr>
          <w:rFonts w:ascii="Calibri" w:hAnsi="Calibri"/>
        </w:rPr>
      </w:pPr>
      <w:r w:rsidRPr="00D06F76">
        <w:rPr>
          <w:rFonts w:ascii="Calibri" w:hAnsi="Calibri"/>
        </w:rPr>
        <w:t>Daňový doklad musí obsahovat náležitosti stanovené obecně závaznými předpisy včetně označení peněžního ústavu a čísla účtu, na který má být placeno.</w:t>
      </w:r>
    </w:p>
    <w:p w:rsidR="00D932A0" w:rsidRPr="00D06F76" w:rsidRDefault="00D932A0" w:rsidP="00201CFC">
      <w:pPr>
        <w:widowControl/>
        <w:numPr>
          <w:ilvl w:val="0"/>
          <w:numId w:val="11"/>
        </w:numPr>
        <w:tabs>
          <w:tab w:val="clear" w:pos="720"/>
        </w:tabs>
        <w:overflowPunct/>
        <w:autoSpaceDE/>
        <w:autoSpaceDN/>
        <w:adjustRightInd/>
        <w:spacing w:after="60" w:line="276" w:lineRule="auto"/>
        <w:ind w:left="425" w:hanging="425"/>
        <w:textAlignment w:val="auto"/>
        <w:rPr>
          <w:rFonts w:ascii="Calibri" w:hAnsi="Calibri"/>
        </w:rPr>
      </w:pPr>
      <w:r w:rsidRPr="00D06F76">
        <w:rPr>
          <w:rFonts w:ascii="Calibri" w:hAnsi="Calibri"/>
        </w:rPr>
        <w:t>V případě prodlení s placením peněžitých závazků vyplývajících ze Smlouvy je příslušná smluvní strana povinna uhradit druhé smluvní straně úrok z prodlení ve výši dle platných obecně závazných právních předpisů, a pokud výši tohoto úroku z prodlení tyto předpisy neuvádějí nebo přestaly uvádět nebo jej nelze určit, pak ve výši 0,05 % z nesplacené částky za každý i započatý den prodlení.</w:t>
      </w:r>
    </w:p>
    <w:p w:rsidR="008D3515" w:rsidRDefault="00E670F0" w:rsidP="00201CFC">
      <w:pPr>
        <w:widowControl/>
        <w:numPr>
          <w:ilvl w:val="0"/>
          <w:numId w:val="11"/>
        </w:numPr>
        <w:tabs>
          <w:tab w:val="clear" w:pos="720"/>
        </w:tabs>
        <w:overflowPunct/>
        <w:autoSpaceDE/>
        <w:autoSpaceDN/>
        <w:adjustRightInd/>
        <w:spacing w:after="60" w:line="276" w:lineRule="auto"/>
        <w:ind w:left="425" w:hanging="425"/>
        <w:textAlignment w:val="auto"/>
        <w:rPr>
          <w:rFonts w:ascii="Calibri" w:hAnsi="Calibri"/>
        </w:rPr>
      </w:pPr>
      <w:r>
        <w:rPr>
          <w:rFonts w:ascii="Calibri" w:hAnsi="Calibri"/>
        </w:rPr>
        <w:t>Ú</w:t>
      </w:r>
      <w:r w:rsidR="00D932A0" w:rsidRPr="00D06F76">
        <w:rPr>
          <w:rFonts w:ascii="Calibri" w:hAnsi="Calibri"/>
        </w:rPr>
        <w:t xml:space="preserve">roky z prodlení jsou splatné do 10 kalendářních dnů od data jejich </w:t>
      </w:r>
      <w:r>
        <w:rPr>
          <w:rFonts w:ascii="Calibri" w:hAnsi="Calibri"/>
        </w:rPr>
        <w:t>vyúčtování.</w:t>
      </w:r>
    </w:p>
    <w:p w:rsidR="00D932A0" w:rsidRPr="00D06F76" w:rsidRDefault="00E670F0" w:rsidP="008D3515">
      <w:pPr>
        <w:widowControl/>
        <w:overflowPunct/>
        <w:autoSpaceDE/>
        <w:autoSpaceDN/>
        <w:adjustRightInd/>
        <w:spacing w:after="60" w:line="276" w:lineRule="auto"/>
        <w:ind w:left="425"/>
        <w:textAlignment w:val="auto"/>
        <w:rPr>
          <w:rFonts w:ascii="Calibri" w:hAnsi="Calibri"/>
        </w:rPr>
      </w:pPr>
      <w:r>
        <w:rPr>
          <w:rFonts w:ascii="Calibri" w:hAnsi="Calibri"/>
        </w:rPr>
        <w:t xml:space="preserve"> </w:t>
      </w:r>
    </w:p>
    <w:p w:rsidR="00D932A0" w:rsidRPr="00D06F76" w:rsidRDefault="00D932A0" w:rsidP="00201CFC">
      <w:pPr>
        <w:spacing w:before="240" w:line="276" w:lineRule="auto"/>
        <w:jc w:val="center"/>
        <w:rPr>
          <w:rFonts w:ascii="Calibri" w:hAnsi="Calibri"/>
          <w:b/>
        </w:rPr>
      </w:pPr>
      <w:r w:rsidRPr="00D06F76">
        <w:rPr>
          <w:rFonts w:ascii="Calibri" w:hAnsi="Calibri"/>
          <w:b/>
        </w:rPr>
        <w:t>V</w:t>
      </w:r>
      <w:r w:rsidR="005C2A42">
        <w:rPr>
          <w:rFonts w:ascii="Calibri" w:hAnsi="Calibri"/>
          <w:b/>
        </w:rPr>
        <w:t>I</w:t>
      </w:r>
      <w:r w:rsidRPr="00D06F76">
        <w:rPr>
          <w:rFonts w:ascii="Calibri" w:hAnsi="Calibri"/>
          <w:b/>
        </w:rPr>
        <w:t>. Doba trvání smlouvy</w:t>
      </w:r>
    </w:p>
    <w:p w:rsidR="00D932A0" w:rsidRPr="00D06F76" w:rsidRDefault="00D932A0" w:rsidP="00201CFC">
      <w:pPr>
        <w:widowControl/>
        <w:numPr>
          <w:ilvl w:val="0"/>
          <w:numId w:val="9"/>
        </w:numPr>
        <w:tabs>
          <w:tab w:val="clear" w:pos="720"/>
        </w:tabs>
        <w:overflowPunct/>
        <w:autoSpaceDE/>
        <w:autoSpaceDN/>
        <w:adjustRightInd/>
        <w:spacing w:before="60" w:after="60" w:line="276" w:lineRule="auto"/>
        <w:ind w:left="425" w:hanging="425"/>
        <w:textAlignment w:val="auto"/>
        <w:rPr>
          <w:rFonts w:ascii="Calibri" w:hAnsi="Calibri"/>
        </w:rPr>
      </w:pPr>
      <w:r w:rsidRPr="00D06F76">
        <w:rPr>
          <w:rFonts w:ascii="Calibri" w:hAnsi="Calibri"/>
        </w:rPr>
        <w:t>Smlouva je u</w:t>
      </w:r>
      <w:r w:rsidR="00E670F0">
        <w:rPr>
          <w:rFonts w:ascii="Calibri" w:hAnsi="Calibri"/>
        </w:rPr>
        <w:t>zavírána s účinností od 1.</w:t>
      </w:r>
      <w:r w:rsidR="005F1A2E">
        <w:rPr>
          <w:rFonts w:ascii="Calibri" w:hAnsi="Calibri"/>
        </w:rPr>
        <w:t xml:space="preserve"> </w:t>
      </w:r>
      <w:r w:rsidR="00E670F0">
        <w:rPr>
          <w:rFonts w:ascii="Calibri" w:hAnsi="Calibri"/>
        </w:rPr>
        <w:t>4.</w:t>
      </w:r>
      <w:r w:rsidR="005F1A2E">
        <w:rPr>
          <w:rFonts w:ascii="Calibri" w:hAnsi="Calibri"/>
        </w:rPr>
        <w:t xml:space="preserve"> </w:t>
      </w:r>
      <w:r w:rsidR="00E670F0">
        <w:rPr>
          <w:rFonts w:ascii="Calibri" w:hAnsi="Calibri"/>
        </w:rPr>
        <w:t>20</w:t>
      </w:r>
      <w:r w:rsidR="002839B9">
        <w:rPr>
          <w:rFonts w:ascii="Calibri" w:hAnsi="Calibri"/>
        </w:rPr>
        <w:t>1</w:t>
      </w:r>
      <w:r w:rsidR="008D3515">
        <w:rPr>
          <w:rFonts w:ascii="Calibri" w:hAnsi="Calibri"/>
        </w:rPr>
        <w:t>5</w:t>
      </w:r>
      <w:r w:rsidR="00E670F0">
        <w:rPr>
          <w:rFonts w:ascii="Calibri" w:hAnsi="Calibri"/>
        </w:rPr>
        <w:t xml:space="preserve"> </w:t>
      </w:r>
      <w:r w:rsidRPr="00D06F76">
        <w:rPr>
          <w:rFonts w:ascii="Calibri" w:hAnsi="Calibri"/>
        </w:rPr>
        <w:t>v</w:t>
      </w:r>
      <w:r w:rsidR="00E670F0">
        <w:rPr>
          <w:rFonts w:ascii="Calibri" w:hAnsi="Calibri"/>
        </w:rPr>
        <w:t> 06:00:00 hodin a končí 1.</w:t>
      </w:r>
      <w:r w:rsidR="005F1A2E">
        <w:rPr>
          <w:rFonts w:ascii="Calibri" w:hAnsi="Calibri"/>
        </w:rPr>
        <w:t xml:space="preserve"> </w:t>
      </w:r>
      <w:r w:rsidR="00E670F0">
        <w:rPr>
          <w:rFonts w:ascii="Calibri" w:hAnsi="Calibri"/>
        </w:rPr>
        <w:t>4.</w:t>
      </w:r>
      <w:r w:rsidR="005F1A2E">
        <w:rPr>
          <w:rFonts w:ascii="Calibri" w:hAnsi="Calibri"/>
        </w:rPr>
        <w:t xml:space="preserve"> </w:t>
      </w:r>
      <w:r w:rsidR="00E670F0">
        <w:rPr>
          <w:rFonts w:ascii="Calibri" w:hAnsi="Calibri"/>
        </w:rPr>
        <w:t>20</w:t>
      </w:r>
      <w:r w:rsidR="008D3515">
        <w:rPr>
          <w:rFonts w:ascii="Calibri" w:hAnsi="Calibri"/>
        </w:rPr>
        <w:t>20</w:t>
      </w:r>
      <w:r w:rsidR="00E670F0">
        <w:rPr>
          <w:rFonts w:ascii="Calibri" w:hAnsi="Calibri"/>
        </w:rPr>
        <w:t xml:space="preserve"> </w:t>
      </w:r>
      <w:r w:rsidRPr="00D06F76">
        <w:rPr>
          <w:rFonts w:ascii="Calibri" w:hAnsi="Calibri"/>
        </w:rPr>
        <w:t xml:space="preserve">v 06:00:00 hodin a je platná v den jejího podpisu oběma smluvními stranami. </w:t>
      </w:r>
    </w:p>
    <w:p w:rsidR="00D932A0" w:rsidRPr="00D50B61" w:rsidRDefault="00D932A0" w:rsidP="00201CFC">
      <w:pPr>
        <w:widowControl/>
        <w:numPr>
          <w:ilvl w:val="0"/>
          <w:numId w:val="9"/>
        </w:numPr>
        <w:tabs>
          <w:tab w:val="clear" w:pos="720"/>
        </w:tabs>
        <w:overflowPunct/>
        <w:autoSpaceDE/>
        <w:autoSpaceDN/>
        <w:adjustRightInd/>
        <w:spacing w:before="60" w:after="60" w:line="276" w:lineRule="auto"/>
        <w:ind w:left="425" w:hanging="425"/>
        <w:textAlignment w:val="auto"/>
        <w:rPr>
          <w:rFonts w:ascii="Calibri" w:hAnsi="Calibri"/>
        </w:rPr>
      </w:pPr>
      <w:r w:rsidRPr="00D06F76">
        <w:rPr>
          <w:rFonts w:ascii="Calibri" w:hAnsi="Calibri"/>
        </w:rPr>
        <w:lastRenderedPageBreak/>
        <w:t>Ukladatel se zavazuje využívat skladovacích služeb tak</w:t>
      </w:r>
      <w:r>
        <w:rPr>
          <w:rFonts w:ascii="Calibri" w:hAnsi="Calibri"/>
        </w:rPr>
        <w:t>,</w:t>
      </w:r>
      <w:r w:rsidRPr="00D06F76">
        <w:rPr>
          <w:rFonts w:ascii="Calibri" w:hAnsi="Calibri"/>
        </w:rPr>
        <w:t xml:space="preserve"> aby k poslednímu dni účinnosti Smlouvy </w:t>
      </w:r>
      <w:r w:rsidRPr="00D50B61">
        <w:rPr>
          <w:rFonts w:ascii="Calibri" w:hAnsi="Calibri"/>
        </w:rPr>
        <w:t>neměl u skladovatele na základě této Smlouvy uložen (vyznačen na účtu ukladatele</w:t>
      </w:r>
      <w:r w:rsidR="0037140F" w:rsidRPr="00D50B61">
        <w:rPr>
          <w:rFonts w:ascii="Calibri" w:hAnsi="Calibri"/>
        </w:rPr>
        <w:t xml:space="preserve"> v kWh</w:t>
      </w:r>
      <w:r w:rsidRPr="00D50B61">
        <w:rPr>
          <w:rFonts w:ascii="Calibri" w:hAnsi="Calibri"/>
        </w:rPr>
        <w:t>) žádný plyn.</w:t>
      </w:r>
    </w:p>
    <w:p w:rsidR="00D932A0" w:rsidRPr="00D06F76" w:rsidRDefault="00D932A0" w:rsidP="00201CFC">
      <w:pPr>
        <w:spacing w:before="240" w:line="276" w:lineRule="auto"/>
        <w:jc w:val="center"/>
        <w:rPr>
          <w:rFonts w:ascii="Calibri" w:hAnsi="Calibri"/>
          <w:b/>
        </w:rPr>
      </w:pPr>
      <w:r w:rsidRPr="00D06F76">
        <w:rPr>
          <w:rFonts w:ascii="Calibri" w:hAnsi="Calibri"/>
          <w:b/>
        </w:rPr>
        <w:t>V</w:t>
      </w:r>
      <w:r w:rsidR="005C2A42">
        <w:rPr>
          <w:rFonts w:ascii="Calibri" w:hAnsi="Calibri"/>
          <w:b/>
        </w:rPr>
        <w:t>II</w:t>
      </w:r>
      <w:r w:rsidRPr="00D06F76">
        <w:rPr>
          <w:rFonts w:ascii="Calibri" w:hAnsi="Calibri"/>
          <w:b/>
        </w:rPr>
        <w:t>. Zvláštní ustanovení</w:t>
      </w:r>
    </w:p>
    <w:p w:rsidR="00D932A0" w:rsidRPr="00D06F76" w:rsidRDefault="00D932A0" w:rsidP="00201CFC">
      <w:pPr>
        <w:widowControl/>
        <w:numPr>
          <w:ilvl w:val="0"/>
          <w:numId w:val="12"/>
        </w:numPr>
        <w:overflowPunct/>
        <w:autoSpaceDE/>
        <w:autoSpaceDN/>
        <w:adjustRightInd/>
        <w:spacing w:before="60" w:after="60" w:line="276" w:lineRule="auto"/>
        <w:ind w:left="425" w:hanging="425"/>
        <w:textAlignment w:val="auto"/>
        <w:rPr>
          <w:rFonts w:ascii="Calibri" w:hAnsi="Calibri"/>
        </w:rPr>
      </w:pPr>
      <w:r w:rsidRPr="00D06F76">
        <w:rPr>
          <w:rFonts w:ascii="Calibri" w:hAnsi="Calibri"/>
        </w:rPr>
        <w:t>Ukladatel touto Smlouvou uděluje skladovateli neodvolatelné a nezrušitelné právo na obstarání prode</w:t>
      </w:r>
      <w:r>
        <w:rPr>
          <w:rFonts w:ascii="Calibri" w:hAnsi="Calibri"/>
        </w:rPr>
        <w:t>je</w:t>
      </w:r>
      <w:r w:rsidRPr="00D06F76">
        <w:rPr>
          <w:rFonts w:ascii="Calibri" w:hAnsi="Calibri"/>
        </w:rPr>
        <w:t xml:space="preserve"> </w:t>
      </w:r>
      <w:r w:rsidR="005C2A42">
        <w:rPr>
          <w:rFonts w:ascii="Calibri" w:hAnsi="Calibri"/>
        </w:rPr>
        <w:t xml:space="preserve">nevytěženého </w:t>
      </w:r>
      <w:r w:rsidRPr="00D06F76">
        <w:rPr>
          <w:rFonts w:ascii="Calibri" w:hAnsi="Calibri"/>
        </w:rPr>
        <w:t xml:space="preserve">plynu, který byl v souladu s touto smlouvou vtlačen do zásobníku plynu skladovatele a v tomto zásobníku se v době využití tohoto práva skladovatele nachází. Smluvní strany výslovně uvádějí, že toto právo na obstarání prodeje trvá i po ukončení platnosti nebo účinnosti této Smlouvy. </w:t>
      </w:r>
    </w:p>
    <w:p w:rsidR="00D932A0" w:rsidRPr="00D06F76" w:rsidRDefault="00D932A0" w:rsidP="00201CFC">
      <w:pPr>
        <w:widowControl/>
        <w:numPr>
          <w:ilvl w:val="0"/>
          <w:numId w:val="12"/>
        </w:numPr>
        <w:overflowPunct/>
        <w:autoSpaceDE/>
        <w:autoSpaceDN/>
        <w:adjustRightInd/>
        <w:spacing w:before="60" w:after="60" w:line="276" w:lineRule="auto"/>
        <w:ind w:left="425" w:hanging="425"/>
        <w:textAlignment w:val="auto"/>
        <w:rPr>
          <w:rFonts w:ascii="Calibri" w:hAnsi="Calibri"/>
        </w:rPr>
      </w:pPr>
      <w:r>
        <w:rPr>
          <w:rFonts w:ascii="Calibri" w:hAnsi="Calibri"/>
        </w:rPr>
        <w:t>Prodej</w:t>
      </w:r>
      <w:r w:rsidRPr="00D06F76">
        <w:rPr>
          <w:rFonts w:ascii="Calibri" w:hAnsi="Calibri"/>
        </w:rPr>
        <w:t xml:space="preserve"> plynu je oprávněn skladovatel provést svým jménem na účet ukladatele s tím, že skladovatel má zároveň právo započíst své pohledávky vyplývající z této smlouvy oproti pohledávce ukladatele na </w:t>
      </w:r>
      <w:r>
        <w:rPr>
          <w:rFonts w:ascii="Calibri" w:hAnsi="Calibri"/>
        </w:rPr>
        <w:t>vyplacení ceny za prodaný</w:t>
      </w:r>
      <w:r w:rsidRPr="00D06F76">
        <w:rPr>
          <w:rFonts w:ascii="Calibri" w:hAnsi="Calibri"/>
        </w:rPr>
        <w:t xml:space="preserve"> </w:t>
      </w:r>
      <w:r w:rsidR="005C2A42">
        <w:rPr>
          <w:rFonts w:ascii="Calibri" w:hAnsi="Calibri"/>
        </w:rPr>
        <w:t>nevytěžený</w:t>
      </w:r>
      <w:r w:rsidR="005C2A42" w:rsidRPr="00D06F76">
        <w:rPr>
          <w:rFonts w:ascii="Calibri" w:hAnsi="Calibri"/>
        </w:rPr>
        <w:t xml:space="preserve"> </w:t>
      </w:r>
      <w:r w:rsidRPr="00D06F76">
        <w:rPr>
          <w:rFonts w:ascii="Calibri" w:hAnsi="Calibri"/>
        </w:rPr>
        <w:t>plyn</w:t>
      </w:r>
      <w:r w:rsidR="005C2A42">
        <w:rPr>
          <w:rFonts w:ascii="Calibri" w:hAnsi="Calibri"/>
        </w:rPr>
        <w:t>.</w:t>
      </w:r>
    </w:p>
    <w:p w:rsidR="00D932A0" w:rsidRPr="00D06F76" w:rsidRDefault="00D932A0" w:rsidP="00201CFC">
      <w:pPr>
        <w:widowControl/>
        <w:numPr>
          <w:ilvl w:val="0"/>
          <w:numId w:val="12"/>
        </w:numPr>
        <w:overflowPunct/>
        <w:autoSpaceDE/>
        <w:autoSpaceDN/>
        <w:adjustRightInd/>
        <w:spacing w:before="60" w:after="60" w:line="276" w:lineRule="auto"/>
        <w:ind w:left="425" w:hanging="425"/>
        <w:textAlignment w:val="auto"/>
        <w:rPr>
          <w:rFonts w:ascii="Calibri" w:hAnsi="Calibri"/>
        </w:rPr>
      </w:pPr>
      <w:r>
        <w:rPr>
          <w:rFonts w:ascii="Calibri" w:hAnsi="Calibri"/>
        </w:rPr>
        <w:t xml:space="preserve">Prodej </w:t>
      </w:r>
      <w:r w:rsidRPr="00D06F76">
        <w:rPr>
          <w:rFonts w:ascii="Calibri" w:hAnsi="Calibri"/>
        </w:rPr>
        <w:t>plynu je skladovatel oprávněn provést pouze za</w:t>
      </w:r>
      <w:r>
        <w:rPr>
          <w:rFonts w:ascii="Calibri" w:hAnsi="Calibri"/>
        </w:rPr>
        <w:t xml:space="preserve"> podmínek uvedených ve Smlouvě,</w:t>
      </w:r>
      <w:r w:rsidRPr="00D06F76">
        <w:rPr>
          <w:rFonts w:ascii="Calibri" w:hAnsi="Calibri"/>
        </w:rPr>
        <w:t xml:space="preserve"> Řádu</w:t>
      </w:r>
      <w:r>
        <w:rPr>
          <w:rFonts w:ascii="Calibri" w:hAnsi="Calibri"/>
        </w:rPr>
        <w:t xml:space="preserve"> a obecně závazných právních předpisech</w:t>
      </w:r>
      <w:r w:rsidRPr="00D06F76">
        <w:rPr>
          <w:rFonts w:ascii="Calibri" w:hAnsi="Calibri"/>
        </w:rPr>
        <w:t>.</w:t>
      </w:r>
    </w:p>
    <w:p w:rsidR="00D932A0" w:rsidRPr="00D06F76" w:rsidRDefault="00D932A0" w:rsidP="00201CFC">
      <w:pPr>
        <w:spacing w:before="240" w:line="276" w:lineRule="auto"/>
        <w:jc w:val="center"/>
        <w:rPr>
          <w:rFonts w:ascii="Calibri" w:hAnsi="Calibri"/>
          <w:b/>
        </w:rPr>
      </w:pPr>
      <w:r w:rsidRPr="00D06F76">
        <w:rPr>
          <w:rFonts w:ascii="Calibri" w:hAnsi="Calibri"/>
          <w:b/>
        </w:rPr>
        <w:t>VI</w:t>
      </w:r>
      <w:r w:rsidR="005C2A42">
        <w:rPr>
          <w:rFonts w:ascii="Calibri" w:hAnsi="Calibri"/>
          <w:b/>
        </w:rPr>
        <w:t>II</w:t>
      </w:r>
      <w:r w:rsidRPr="00D06F76">
        <w:rPr>
          <w:rFonts w:ascii="Calibri" w:hAnsi="Calibri"/>
          <w:b/>
        </w:rPr>
        <w:t>. Závěrečná ustanovení</w:t>
      </w:r>
      <w:r w:rsidRPr="00D06F76">
        <w:rPr>
          <w:rFonts w:ascii="Calibri" w:hAnsi="Calibri"/>
        </w:rPr>
        <w:t xml:space="preserve"> </w:t>
      </w:r>
    </w:p>
    <w:p w:rsidR="00130255" w:rsidRDefault="00D932A0" w:rsidP="00201CFC">
      <w:pPr>
        <w:widowControl/>
        <w:numPr>
          <w:ilvl w:val="0"/>
          <w:numId w:val="8"/>
        </w:numPr>
        <w:overflowPunct/>
        <w:autoSpaceDE/>
        <w:autoSpaceDN/>
        <w:adjustRightInd/>
        <w:spacing w:before="60" w:after="60" w:line="276" w:lineRule="auto"/>
        <w:ind w:left="357" w:hanging="357"/>
        <w:textAlignment w:val="auto"/>
        <w:rPr>
          <w:rFonts w:ascii="Calibri" w:hAnsi="Calibri"/>
        </w:rPr>
      </w:pPr>
      <w:r w:rsidRPr="00D06F76">
        <w:rPr>
          <w:rFonts w:ascii="Calibri" w:hAnsi="Calibri"/>
        </w:rPr>
        <w:t xml:space="preserve">Právní vztahy mezi smluvními stranami založené touto Smlouvou a zvlášť v ní neupravené se řídí </w:t>
      </w:r>
      <w:r w:rsidR="00FD3E15">
        <w:rPr>
          <w:rFonts w:ascii="Calibri" w:hAnsi="Calibri"/>
        </w:rPr>
        <w:t xml:space="preserve">českým právním řádem, zejména </w:t>
      </w:r>
      <w:r w:rsidRPr="00D06F76">
        <w:rPr>
          <w:rFonts w:ascii="Calibri" w:hAnsi="Calibri"/>
        </w:rPr>
        <w:t xml:space="preserve">příslušnými ustanoveními </w:t>
      </w:r>
      <w:r w:rsidR="00692BCE">
        <w:rPr>
          <w:rFonts w:ascii="Calibri" w:hAnsi="Calibri"/>
        </w:rPr>
        <w:t xml:space="preserve">energetického zákona a </w:t>
      </w:r>
      <w:r w:rsidRPr="00D06F76">
        <w:rPr>
          <w:rFonts w:ascii="Calibri" w:hAnsi="Calibri"/>
        </w:rPr>
        <w:t>zákona č.</w:t>
      </w:r>
      <w:r w:rsidR="00692BCE">
        <w:rPr>
          <w:rFonts w:ascii="Calibri" w:hAnsi="Calibri"/>
        </w:rPr>
        <w:t> </w:t>
      </w:r>
      <w:r w:rsidR="001A510A">
        <w:rPr>
          <w:rFonts w:ascii="Calibri" w:hAnsi="Calibri"/>
        </w:rPr>
        <w:t>89/2012</w:t>
      </w:r>
      <w:r w:rsidRPr="00D06F76">
        <w:rPr>
          <w:rFonts w:ascii="Calibri" w:hAnsi="Calibri"/>
        </w:rPr>
        <w:t xml:space="preserve">, </w:t>
      </w:r>
      <w:r w:rsidR="001A510A">
        <w:rPr>
          <w:rFonts w:ascii="Calibri" w:hAnsi="Calibri"/>
        </w:rPr>
        <w:t xml:space="preserve">občanský </w:t>
      </w:r>
      <w:r w:rsidRPr="00D06F76">
        <w:rPr>
          <w:rFonts w:ascii="Calibri" w:hAnsi="Calibri"/>
        </w:rPr>
        <w:t>zákoník</w:t>
      </w:r>
      <w:r w:rsidR="00692BCE">
        <w:rPr>
          <w:rFonts w:ascii="Calibri" w:hAnsi="Calibri"/>
        </w:rPr>
        <w:t>,</w:t>
      </w:r>
      <w:r w:rsidR="00FD3E15">
        <w:rPr>
          <w:rFonts w:ascii="Calibri" w:hAnsi="Calibri"/>
        </w:rPr>
        <w:t xml:space="preserve"> </w:t>
      </w:r>
      <w:r w:rsidR="00692BCE">
        <w:rPr>
          <w:rFonts w:ascii="Calibri" w:hAnsi="Calibri"/>
        </w:rPr>
        <w:t>vše v platném a účinném znění</w:t>
      </w:r>
      <w:r w:rsidRPr="00D06F76">
        <w:rPr>
          <w:rFonts w:ascii="Calibri" w:hAnsi="Calibri"/>
        </w:rPr>
        <w:t>.</w:t>
      </w:r>
      <w:r w:rsidR="001A510A">
        <w:rPr>
          <w:rFonts w:ascii="Calibri" w:hAnsi="Calibri"/>
        </w:rPr>
        <w:t xml:space="preserve"> </w:t>
      </w:r>
      <w:r w:rsidR="005E6BBF">
        <w:rPr>
          <w:rFonts w:ascii="Calibri" w:hAnsi="Calibri"/>
        </w:rPr>
        <w:t>Případné spory z této S</w:t>
      </w:r>
      <w:bookmarkStart w:id="0" w:name="_GoBack"/>
      <w:bookmarkEnd w:id="0"/>
      <w:r w:rsidR="00692BCE">
        <w:rPr>
          <w:rFonts w:ascii="Calibri" w:hAnsi="Calibri"/>
        </w:rPr>
        <w:t>mlouvy budou rozhodnuty českými soudy, místní příslušnost bude určena dle sídla skladovatele.</w:t>
      </w:r>
    </w:p>
    <w:p w:rsidR="00D932A0" w:rsidRPr="00D06F76" w:rsidRDefault="001A510A" w:rsidP="00201CFC">
      <w:pPr>
        <w:widowControl/>
        <w:numPr>
          <w:ilvl w:val="0"/>
          <w:numId w:val="8"/>
        </w:numPr>
        <w:overflowPunct/>
        <w:autoSpaceDE/>
        <w:autoSpaceDN/>
        <w:adjustRightInd/>
        <w:spacing w:before="60" w:after="60" w:line="276" w:lineRule="auto"/>
        <w:ind w:left="357" w:hanging="357"/>
        <w:textAlignment w:val="auto"/>
        <w:rPr>
          <w:rFonts w:ascii="Calibri" w:hAnsi="Calibri"/>
        </w:rPr>
      </w:pPr>
      <w:r>
        <w:rPr>
          <w:rFonts w:ascii="Calibri" w:hAnsi="Calibri"/>
        </w:rPr>
        <w:t xml:space="preserve">Smluvní strany prohlašují, že tuto Smlouvu uzavírají </w:t>
      </w:r>
      <w:r w:rsidR="00130255">
        <w:rPr>
          <w:rFonts w:ascii="Calibri" w:hAnsi="Calibri"/>
        </w:rPr>
        <w:t xml:space="preserve">při výkonu své podnikatelské činnosti a nejsou si vědomy skutečností, které by mohly vést k závěru, že jedna smluvní strana je vůči druhé v postavení slabší smluvní strany. Smluvní strany </w:t>
      </w:r>
      <w:r w:rsidR="000F5F93">
        <w:rPr>
          <w:rFonts w:ascii="Calibri" w:hAnsi="Calibri"/>
        </w:rPr>
        <w:t xml:space="preserve">dále </w:t>
      </w:r>
      <w:r w:rsidR="00130255">
        <w:rPr>
          <w:rFonts w:ascii="Calibri" w:hAnsi="Calibri"/>
        </w:rPr>
        <w:t>prohlašují, že obsah této Smlouvy považují ve smyslu ustanovení § 1801 občanského zákoníku za neodporující obchodním zvyklostem v plynárenství.</w:t>
      </w:r>
      <w:r>
        <w:rPr>
          <w:rFonts w:ascii="Calibri" w:hAnsi="Calibri"/>
        </w:rPr>
        <w:t xml:space="preserve"> </w:t>
      </w:r>
    </w:p>
    <w:p w:rsidR="001A510A" w:rsidRPr="001A510A" w:rsidRDefault="00130255" w:rsidP="001A510A">
      <w:pPr>
        <w:widowControl/>
        <w:numPr>
          <w:ilvl w:val="0"/>
          <w:numId w:val="8"/>
        </w:numPr>
        <w:tabs>
          <w:tab w:val="num" w:pos="426"/>
        </w:tabs>
        <w:overflowPunct/>
        <w:autoSpaceDE/>
        <w:autoSpaceDN/>
        <w:adjustRightInd/>
        <w:spacing w:before="60" w:after="60" w:line="276" w:lineRule="auto"/>
        <w:textAlignment w:val="auto"/>
        <w:rPr>
          <w:rFonts w:ascii="Calibri" w:hAnsi="Calibri"/>
        </w:rPr>
      </w:pPr>
      <w:r>
        <w:rPr>
          <w:rFonts w:ascii="Calibri" w:hAnsi="Calibri"/>
        </w:rPr>
        <w:t>Smluvní strany uznávají,</w:t>
      </w:r>
      <w:r w:rsidR="000F5F93">
        <w:rPr>
          <w:rFonts w:ascii="Calibri" w:hAnsi="Calibri"/>
        </w:rPr>
        <w:t xml:space="preserve"> </w:t>
      </w:r>
      <w:r>
        <w:rPr>
          <w:rFonts w:ascii="Calibri" w:hAnsi="Calibri"/>
        </w:rPr>
        <w:t xml:space="preserve">že </w:t>
      </w:r>
      <w:r w:rsidR="001A510A">
        <w:rPr>
          <w:rFonts w:ascii="Calibri" w:hAnsi="Calibri"/>
        </w:rPr>
        <w:t xml:space="preserve">Řád </w:t>
      </w:r>
      <w:r w:rsidR="000F5F93">
        <w:rPr>
          <w:rFonts w:ascii="Calibri" w:hAnsi="Calibri"/>
        </w:rPr>
        <w:t xml:space="preserve">není </w:t>
      </w:r>
      <w:r w:rsidR="001A510A">
        <w:rPr>
          <w:rFonts w:ascii="Calibri" w:hAnsi="Calibri"/>
        </w:rPr>
        <w:t>obchodní</w:t>
      </w:r>
      <w:r w:rsidR="000F5F93">
        <w:rPr>
          <w:rFonts w:ascii="Calibri" w:hAnsi="Calibri"/>
        </w:rPr>
        <w:t>mi</w:t>
      </w:r>
      <w:r w:rsidR="001A510A">
        <w:rPr>
          <w:rFonts w:ascii="Calibri" w:hAnsi="Calibri"/>
        </w:rPr>
        <w:t xml:space="preserve"> podmínk</w:t>
      </w:r>
      <w:r w:rsidR="000F5F93">
        <w:rPr>
          <w:rFonts w:ascii="Calibri" w:hAnsi="Calibri"/>
        </w:rPr>
        <w:t>ami skladovatele</w:t>
      </w:r>
      <w:r w:rsidR="001A510A">
        <w:rPr>
          <w:rFonts w:ascii="Calibri" w:hAnsi="Calibri"/>
        </w:rPr>
        <w:t xml:space="preserve"> ve smyslu ustanovení §</w:t>
      </w:r>
      <w:r>
        <w:rPr>
          <w:rFonts w:ascii="Calibri" w:hAnsi="Calibri"/>
        </w:rPr>
        <w:t> </w:t>
      </w:r>
      <w:r w:rsidR="001A510A">
        <w:rPr>
          <w:rFonts w:ascii="Calibri" w:hAnsi="Calibri"/>
        </w:rPr>
        <w:t>1751 a násl. občansk</w:t>
      </w:r>
      <w:r>
        <w:rPr>
          <w:rFonts w:ascii="Calibri" w:hAnsi="Calibri"/>
        </w:rPr>
        <w:t>ého</w:t>
      </w:r>
      <w:r w:rsidR="001A510A">
        <w:rPr>
          <w:rFonts w:ascii="Calibri" w:hAnsi="Calibri"/>
        </w:rPr>
        <w:t xml:space="preserve"> zákoník</w:t>
      </w:r>
      <w:r>
        <w:rPr>
          <w:rFonts w:ascii="Calibri" w:hAnsi="Calibri"/>
        </w:rPr>
        <w:t>u</w:t>
      </w:r>
      <w:r w:rsidR="001A510A">
        <w:rPr>
          <w:rFonts w:ascii="Calibri" w:hAnsi="Calibri"/>
        </w:rPr>
        <w:t>, jelikož je ve smyslu ustanovení § 97a energetického zákona předmětem schvalovacího resp. stanovovacího řízení před Energetickým regulačním úřadem</w:t>
      </w:r>
      <w:r>
        <w:rPr>
          <w:rFonts w:ascii="Calibri" w:hAnsi="Calibri"/>
        </w:rPr>
        <w:t>.</w:t>
      </w:r>
      <w:r w:rsidR="001A510A" w:rsidRPr="001A510A">
        <w:rPr>
          <w:rFonts w:ascii="Calibri" w:hAnsi="Calibri"/>
        </w:rPr>
        <w:t xml:space="preserve"> </w:t>
      </w:r>
    </w:p>
    <w:p w:rsidR="002830DD" w:rsidRDefault="002830DD" w:rsidP="00201CFC">
      <w:pPr>
        <w:widowControl/>
        <w:numPr>
          <w:ilvl w:val="0"/>
          <w:numId w:val="8"/>
        </w:numPr>
        <w:overflowPunct/>
        <w:autoSpaceDE/>
        <w:autoSpaceDN/>
        <w:adjustRightInd/>
        <w:spacing w:before="60" w:after="60" w:line="276" w:lineRule="auto"/>
        <w:ind w:left="357" w:hanging="357"/>
        <w:textAlignment w:val="auto"/>
        <w:rPr>
          <w:rFonts w:ascii="Calibri" w:hAnsi="Calibri"/>
        </w:rPr>
      </w:pPr>
      <w:r>
        <w:rPr>
          <w:rFonts w:ascii="Calibri" w:hAnsi="Calibri"/>
        </w:rPr>
        <w:t>S ohledem na regulovanou povahu činnosti skladovatele a způsob přidělovaní skladovacích kapacit prostřednictvím elektronických aukcí dle vyhlášky č. 365/2000 Sb., o pravidlech trhu s plynem, ve znění pozdějších předpisů, smluvní strany prohlašují, že ustanovení § 1765 a 1766 občanského zákoníku se pro tento smluvní vztah neaplikuje. Ukladatel ve smyslu ustanovení §</w:t>
      </w:r>
      <w:r w:rsidR="00222845">
        <w:t> </w:t>
      </w:r>
      <w:r>
        <w:rPr>
          <w:rFonts w:ascii="Calibri" w:hAnsi="Calibri"/>
        </w:rPr>
        <w:t>1765 odst. 2 občanského zákoníku přeb</w:t>
      </w:r>
      <w:r w:rsidR="00263C38">
        <w:rPr>
          <w:rFonts w:ascii="Calibri" w:hAnsi="Calibri"/>
        </w:rPr>
        <w:t>í</w:t>
      </w:r>
      <w:r>
        <w:rPr>
          <w:rFonts w:ascii="Calibri" w:hAnsi="Calibri"/>
        </w:rPr>
        <w:t>rá na sebe nebezpečí změny okolností.</w:t>
      </w:r>
    </w:p>
    <w:p w:rsidR="00D932A0" w:rsidRPr="00D06F76" w:rsidRDefault="00D932A0" w:rsidP="00201CFC">
      <w:pPr>
        <w:widowControl/>
        <w:numPr>
          <w:ilvl w:val="0"/>
          <w:numId w:val="8"/>
        </w:numPr>
        <w:overflowPunct/>
        <w:autoSpaceDE/>
        <w:autoSpaceDN/>
        <w:adjustRightInd/>
        <w:spacing w:before="60" w:after="60" w:line="276" w:lineRule="auto"/>
        <w:ind w:left="357" w:hanging="357"/>
        <w:textAlignment w:val="auto"/>
        <w:rPr>
          <w:rFonts w:ascii="Calibri" w:hAnsi="Calibri"/>
        </w:rPr>
      </w:pPr>
      <w:r w:rsidRPr="00D06F76">
        <w:rPr>
          <w:rFonts w:ascii="Calibri" w:hAnsi="Calibri"/>
        </w:rPr>
        <w:t xml:space="preserve">Smluvní strany se vzájemně zavazují, že budou chránit a utajovat před třetími osobami důvěrné informace. Žádná ze smluvních stran bez písemného souhlasu druhé smluvní strany neposkytne informace o obsahu této smlouvy a ostatní důvěrné informace, které se v souvislosti se Smlouvou dověděla, s výjimkou veřejně publikovaných informací, a to ani v dílčím rozsahu </w:t>
      </w:r>
      <w:r w:rsidRPr="00D06F76">
        <w:rPr>
          <w:rFonts w:ascii="Calibri" w:hAnsi="Calibri"/>
        </w:rPr>
        <w:lastRenderedPageBreak/>
        <w:t>třetí straně, s výjimkou osob ovládajících a osob ovládaných stejnou ovládající osobou. Stejným způsobem budou strany chránit důvěrné informace a skutečnosti tvořící obchodní tajemství třetí osoby, které byly touto třetí stranou některé ze smluvních stran poskytnuty se svolením. Závazek ochrany utajení trvá po celou dobu trvání skutečností tvořících obchodní tajemství nebo trvání zájmu chránění důvěrných informací.</w:t>
      </w:r>
    </w:p>
    <w:p w:rsidR="00D932A0" w:rsidRPr="00D06F76" w:rsidRDefault="00D932A0" w:rsidP="00201CFC">
      <w:pPr>
        <w:widowControl/>
        <w:numPr>
          <w:ilvl w:val="0"/>
          <w:numId w:val="8"/>
        </w:numPr>
        <w:overflowPunct/>
        <w:autoSpaceDE/>
        <w:autoSpaceDN/>
        <w:adjustRightInd/>
        <w:spacing w:before="60" w:after="60" w:line="276" w:lineRule="auto"/>
        <w:ind w:left="357" w:hanging="357"/>
        <w:textAlignment w:val="auto"/>
        <w:rPr>
          <w:rFonts w:ascii="Calibri" w:hAnsi="Calibri"/>
        </w:rPr>
      </w:pPr>
      <w:r w:rsidRPr="00D06F76">
        <w:rPr>
          <w:rFonts w:ascii="Calibri" w:hAnsi="Calibri"/>
        </w:rPr>
        <w:t>Tato Smlouva může být měněna nebo doplňována pouze formou písemných dodatků podepsaných odpovědnými zástupci obou smluvních stran s tím, že způsob změny a doplňování Řádu je dále uveden v článku II</w:t>
      </w:r>
      <w:r w:rsidR="000F5F93">
        <w:rPr>
          <w:rFonts w:ascii="Calibri" w:hAnsi="Calibri"/>
        </w:rPr>
        <w:t>.</w:t>
      </w:r>
      <w:r w:rsidRPr="00D06F76">
        <w:rPr>
          <w:rFonts w:ascii="Calibri" w:hAnsi="Calibri"/>
        </w:rPr>
        <w:t xml:space="preserve"> Smlouvy a v</w:t>
      </w:r>
      <w:r>
        <w:rPr>
          <w:rFonts w:ascii="Calibri" w:hAnsi="Calibri"/>
        </w:rPr>
        <w:t> </w:t>
      </w:r>
      <w:r w:rsidRPr="00D06F76">
        <w:rPr>
          <w:rFonts w:ascii="Calibri" w:hAnsi="Calibri"/>
        </w:rPr>
        <w:t>Řádu</w:t>
      </w:r>
      <w:r>
        <w:rPr>
          <w:rFonts w:ascii="Calibri" w:hAnsi="Calibri"/>
        </w:rPr>
        <w:t>.</w:t>
      </w:r>
      <w:r w:rsidRPr="00D06F76">
        <w:rPr>
          <w:rFonts w:ascii="Calibri" w:hAnsi="Calibri"/>
        </w:rPr>
        <w:t xml:space="preserve"> </w:t>
      </w:r>
    </w:p>
    <w:p w:rsidR="00D932A0" w:rsidRPr="00D06F76" w:rsidRDefault="00D932A0" w:rsidP="00201CFC">
      <w:pPr>
        <w:widowControl/>
        <w:numPr>
          <w:ilvl w:val="0"/>
          <w:numId w:val="8"/>
        </w:numPr>
        <w:overflowPunct/>
        <w:autoSpaceDE/>
        <w:autoSpaceDN/>
        <w:adjustRightInd/>
        <w:spacing w:before="60" w:after="60" w:line="276" w:lineRule="auto"/>
        <w:ind w:left="357" w:hanging="357"/>
        <w:textAlignment w:val="auto"/>
        <w:rPr>
          <w:rFonts w:ascii="Calibri" w:hAnsi="Calibri"/>
        </w:rPr>
      </w:pPr>
      <w:r w:rsidRPr="00D06F76">
        <w:rPr>
          <w:rFonts w:ascii="Calibri" w:hAnsi="Calibri"/>
        </w:rPr>
        <w:t>Ukladatel, který je zároveň zákazníkem (§62 energetického zákona)</w:t>
      </w:r>
      <w:r>
        <w:rPr>
          <w:rFonts w:ascii="Calibri" w:hAnsi="Calibri"/>
        </w:rPr>
        <w:t>,</w:t>
      </w:r>
      <w:r w:rsidRPr="00D06F76">
        <w:rPr>
          <w:rFonts w:ascii="Calibri" w:hAnsi="Calibri"/>
        </w:rPr>
        <w:t xml:space="preserve"> je oprávněn odstoupit od této Smlouvy v případě neplnění smluvních povinností ze strany skladovatele nebo v případě nesouhlasu se skladovatelem navrhovanou změnou smluvních podmínek, které nejsou vyvolány změnou obecně závazných právních předpisů nebo rozhodnutím příslušného orgánu státní správy.</w:t>
      </w:r>
      <w:r w:rsidR="005503AA">
        <w:rPr>
          <w:rFonts w:ascii="Calibri" w:hAnsi="Calibri"/>
        </w:rPr>
        <w:t xml:space="preserve"> V případě odstoupení od smlouvy z důvodu </w:t>
      </w:r>
      <w:r w:rsidR="005503AA" w:rsidRPr="00D06F76">
        <w:rPr>
          <w:rFonts w:ascii="Calibri" w:hAnsi="Calibri"/>
        </w:rPr>
        <w:t>nesouhlasu se skladovatelem navrhovanou změnou smluvních podmínek</w:t>
      </w:r>
      <w:r w:rsidR="005503AA">
        <w:rPr>
          <w:rFonts w:ascii="Calibri" w:hAnsi="Calibri"/>
        </w:rPr>
        <w:t xml:space="preserve"> toto právo</w:t>
      </w:r>
      <w:r w:rsidR="00193B3E">
        <w:rPr>
          <w:rFonts w:ascii="Calibri" w:hAnsi="Calibri"/>
        </w:rPr>
        <w:t xml:space="preserve"> na odstoupení</w:t>
      </w:r>
      <w:r w:rsidR="005503AA">
        <w:rPr>
          <w:rFonts w:ascii="Calibri" w:hAnsi="Calibri"/>
        </w:rPr>
        <w:t xml:space="preserve"> zaniká</w:t>
      </w:r>
      <w:r w:rsidR="005F1A2E">
        <w:rPr>
          <w:rFonts w:ascii="Calibri" w:hAnsi="Calibri"/>
        </w:rPr>
        <w:t>,</w:t>
      </w:r>
      <w:r w:rsidR="005503AA">
        <w:rPr>
          <w:rFonts w:ascii="Calibri" w:hAnsi="Calibri"/>
        </w:rPr>
        <w:t xml:space="preserve"> pokud příslušný ukladatel neodstoupil od Smlouvy do 90 dnů </w:t>
      </w:r>
      <w:r w:rsidR="00193B3E">
        <w:rPr>
          <w:rFonts w:ascii="Calibri" w:hAnsi="Calibri"/>
        </w:rPr>
        <w:t>ode dne</w:t>
      </w:r>
      <w:r w:rsidR="005F1A2E">
        <w:rPr>
          <w:rFonts w:ascii="Calibri" w:hAnsi="Calibri"/>
        </w:rPr>
        <w:t>,</w:t>
      </w:r>
      <w:r w:rsidR="00193B3E">
        <w:rPr>
          <w:rFonts w:ascii="Calibri" w:hAnsi="Calibri"/>
        </w:rPr>
        <w:t xml:space="preserve"> kdy se o návrhu změny smluvních podmínek dověděl</w:t>
      </w:r>
      <w:r w:rsidR="005F1A2E">
        <w:rPr>
          <w:rFonts w:ascii="Calibri" w:hAnsi="Calibri"/>
        </w:rPr>
        <w:t>,</w:t>
      </w:r>
      <w:r w:rsidR="00193B3E">
        <w:rPr>
          <w:rFonts w:ascii="Calibri" w:hAnsi="Calibri"/>
        </w:rPr>
        <w:t xml:space="preserve"> nebo mohl dovědět. </w:t>
      </w:r>
    </w:p>
    <w:p w:rsidR="00D932A0" w:rsidRPr="00D06F76" w:rsidRDefault="00D932A0" w:rsidP="00201CFC">
      <w:pPr>
        <w:widowControl/>
        <w:numPr>
          <w:ilvl w:val="0"/>
          <w:numId w:val="8"/>
        </w:numPr>
        <w:overflowPunct/>
        <w:autoSpaceDE/>
        <w:autoSpaceDN/>
        <w:adjustRightInd/>
        <w:spacing w:before="60" w:after="60" w:line="276" w:lineRule="auto"/>
        <w:ind w:left="357" w:hanging="357"/>
        <w:textAlignment w:val="auto"/>
        <w:rPr>
          <w:rFonts w:ascii="Calibri" w:hAnsi="Calibri"/>
        </w:rPr>
      </w:pPr>
      <w:r w:rsidRPr="00D06F76">
        <w:rPr>
          <w:rFonts w:ascii="Calibri" w:hAnsi="Calibri"/>
        </w:rPr>
        <w:t>Tato Smlouva je vyhotovena ve dvou výtiscích s platností originálu, ze kterých každá ze smluvních stran obdrží po jednom.</w:t>
      </w:r>
    </w:p>
    <w:p w:rsidR="00D932A0" w:rsidRDefault="00D932A0" w:rsidP="00201CFC">
      <w:pPr>
        <w:widowControl/>
        <w:numPr>
          <w:ilvl w:val="0"/>
          <w:numId w:val="8"/>
        </w:numPr>
        <w:overflowPunct/>
        <w:autoSpaceDE/>
        <w:autoSpaceDN/>
        <w:adjustRightInd/>
        <w:spacing w:before="60" w:after="60" w:line="276" w:lineRule="auto"/>
        <w:ind w:left="357" w:hanging="357"/>
        <w:textAlignment w:val="auto"/>
        <w:rPr>
          <w:rFonts w:ascii="Calibri" w:hAnsi="Calibri"/>
        </w:rPr>
      </w:pPr>
      <w:r w:rsidRPr="00D06F76">
        <w:rPr>
          <w:rFonts w:ascii="Calibri" w:hAnsi="Calibri"/>
        </w:rPr>
        <w:t xml:space="preserve">Převedení práv a závazků ze Smlouvy na třetí osoby včetně jejich zastavení úplně nebo částečně, je možné jen s písemným souhlasem </w:t>
      </w:r>
      <w:r w:rsidR="000F5F93">
        <w:rPr>
          <w:rFonts w:ascii="Calibri" w:hAnsi="Calibri"/>
        </w:rPr>
        <w:t>druhé smluvní strany</w:t>
      </w:r>
      <w:r w:rsidRPr="00D06F76">
        <w:rPr>
          <w:rFonts w:ascii="Calibri" w:hAnsi="Calibri"/>
        </w:rPr>
        <w:t>.</w:t>
      </w:r>
      <w:r>
        <w:rPr>
          <w:rFonts w:ascii="Calibri" w:hAnsi="Calibri"/>
        </w:rPr>
        <w:t xml:space="preserve"> </w:t>
      </w:r>
    </w:p>
    <w:p w:rsidR="00D932A0" w:rsidRPr="00D06F76" w:rsidRDefault="00D932A0" w:rsidP="00201CFC">
      <w:pPr>
        <w:pStyle w:val="Zkladntext"/>
        <w:numPr>
          <w:ilvl w:val="0"/>
          <w:numId w:val="8"/>
        </w:numPr>
        <w:autoSpaceDE w:val="0"/>
        <w:autoSpaceDN w:val="0"/>
        <w:spacing w:before="60" w:after="60" w:line="276" w:lineRule="auto"/>
        <w:ind w:left="357" w:hanging="357"/>
        <w:jc w:val="left"/>
        <w:rPr>
          <w:rFonts w:ascii="Calibri" w:hAnsi="Calibri"/>
          <w:sz w:val="24"/>
        </w:rPr>
      </w:pPr>
      <w:r w:rsidRPr="00D06F76">
        <w:rPr>
          <w:rFonts w:ascii="Calibri" w:hAnsi="Calibri"/>
          <w:sz w:val="24"/>
        </w:rPr>
        <w:t>Smluvní strany prohlašují, že se podrobně seznámily s obsahem této Smlouvy, jejímu obsahu porozuměly a nejsou si vědomy žádných překážek, nároků třetích osob ani jiných právních vad, které by jejímu uzavření bránily či způsobovaly její neplatnost. Na důkaz toho připojují k tomu oprávnění zástupci smluvních stran své podpisy.</w:t>
      </w:r>
    </w:p>
    <w:p w:rsidR="006E5F0B" w:rsidRDefault="006E5F0B" w:rsidP="00201CFC">
      <w:pPr>
        <w:pStyle w:val="Zhlav"/>
        <w:tabs>
          <w:tab w:val="left" w:pos="360"/>
        </w:tabs>
        <w:spacing w:line="276" w:lineRule="auto"/>
        <w:rPr>
          <w:rFonts w:ascii="Calibri" w:hAnsi="Calibri"/>
          <w:b/>
          <w:kern w:val="28"/>
          <w:szCs w:val="24"/>
        </w:rPr>
      </w:pPr>
    </w:p>
    <w:p w:rsidR="00D932A0" w:rsidRPr="00D06F76" w:rsidRDefault="00D932A0" w:rsidP="00201CFC">
      <w:pPr>
        <w:pStyle w:val="Zhlav"/>
        <w:tabs>
          <w:tab w:val="left" w:pos="360"/>
        </w:tabs>
        <w:spacing w:line="276" w:lineRule="auto"/>
        <w:rPr>
          <w:rFonts w:ascii="Calibri" w:hAnsi="Calibri"/>
          <w:b/>
          <w:kern w:val="28"/>
          <w:szCs w:val="24"/>
        </w:rPr>
      </w:pPr>
      <w:r w:rsidRPr="00D06F76">
        <w:rPr>
          <w:rFonts w:ascii="Calibri" w:hAnsi="Calibri"/>
          <w:b/>
          <w:kern w:val="28"/>
          <w:szCs w:val="24"/>
        </w:rPr>
        <w:t>Přílohy:</w:t>
      </w:r>
    </w:p>
    <w:p w:rsidR="00D932A0" w:rsidRDefault="00D932A0" w:rsidP="00201CFC">
      <w:pPr>
        <w:pStyle w:val="Zkladntext"/>
        <w:tabs>
          <w:tab w:val="left" w:pos="567"/>
        </w:tabs>
        <w:spacing w:line="276" w:lineRule="auto"/>
        <w:rPr>
          <w:rFonts w:ascii="Calibri" w:hAnsi="Calibri"/>
          <w:sz w:val="24"/>
        </w:rPr>
      </w:pPr>
      <w:r w:rsidRPr="00D06F76">
        <w:rPr>
          <w:rFonts w:ascii="Calibri" w:hAnsi="Calibri"/>
          <w:sz w:val="24"/>
        </w:rPr>
        <w:t>1</w:t>
      </w:r>
      <w:r w:rsidR="006E5F0B">
        <w:rPr>
          <w:rFonts w:ascii="Calibri" w:hAnsi="Calibri"/>
          <w:sz w:val="24"/>
        </w:rPr>
        <w:tab/>
      </w:r>
      <w:r w:rsidRPr="00D06F76">
        <w:rPr>
          <w:rFonts w:ascii="Calibri" w:hAnsi="Calibri"/>
          <w:sz w:val="24"/>
        </w:rPr>
        <w:t>Vtláčecí a těžební křivka</w:t>
      </w:r>
    </w:p>
    <w:p w:rsidR="00D932A0" w:rsidRDefault="00D932A0" w:rsidP="00201CFC">
      <w:pPr>
        <w:pStyle w:val="Zkladntext"/>
        <w:tabs>
          <w:tab w:val="left" w:pos="851"/>
        </w:tabs>
        <w:spacing w:line="276" w:lineRule="auto"/>
        <w:rPr>
          <w:rFonts w:ascii="Calibri" w:hAnsi="Calibri"/>
          <w:sz w:val="24"/>
        </w:rPr>
      </w:pPr>
    </w:p>
    <w:p w:rsidR="00120617" w:rsidRDefault="00120617" w:rsidP="00201CFC">
      <w:pPr>
        <w:pStyle w:val="Zkladntext"/>
        <w:tabs>
          <w:tab w:val="left" w:pos="851"/>
        </w:tabs>
        <w:spacing w:line="276" w:lineRule="auto"/>
        <w:rPr>
          <w:rFonts w:ascii="Calibri" w:hAnsi="Calibri"/>
          <w:sz w:val="24"/>
        </w:rPr>
      </w:pPr>
    </w:p>
    <w:p w:rsidR="00D932A0" w:rsidRPr="00D06F76" w:rsidRDefault="00D932A0" w:rsidP="00201CFC">
      <w:pPr>
        <w:pStyle w:val="Zkladntext"/>
        <w:tabs>
          <w:tab w:val="left" w:pos="851"/>
          <w:tab w:val="left" w:pos="5103"/>
        </w:tabs>
        <w:spacing w:line="276" w:lineRule="auto"/>
        <w:rPr>
          <w:rFonts w:ascii="Calibri" w:hAnsi="Calibri"/>
          <w:sz w:val="24"/>
        </w:rPr>
      </w:pPr>
      <w:r w:rsidRPr="00D06F76">
        <w:rPr>
          <w:rFonts w:ascii="Calibri" w:hAnsi="Calibri"/>
          <w:sz w:val="24"/>
        </w:rPr>
        <w:t>V ………………</w:t>
      </w:r>
      <w:r w:rsidR="006E5F0B">
        <w:rPr>
          <w:rFonts w:ascii="Calibri" w:hAnsi="Calibri"/>
          <w:sz w:val="24"/>
        </w:rPr>
        <w:t>……..</w:t>
      </w:r>
      <w:r w:rsidRPr="00D06F76">
        <w:rPr>
          <w:rFonts w:ascii="Calibri" w:hAnsi="Calibri"/>
          <w:sz w:val="24"/>
        </w:rPr>
        <w:t xml:space="preserve"> </w:t>
      </w:r>
      <w:r w:rsidR="006E5F0B">
        <w:rPr>
          <w:rFonts w:ascii="Calibri" w:hAnsi="Calibri"/>
          <w:sz w:val="24"/>
        </w:rPr>
        <w:t>d</w:t>
      </w:r>
      <w:r w:rsidRPr="00D06F76">
        <w:rPr>
          <w:rFonts w:ascii="Calibri" w:hAnsi="Calibri"/>
          <w:sz w:val="24"/>
        </w:rPr>
        <w:t xml:space="preserve">ne </w:t>
      </w:r>
      <w:r w:rsidR="006E5F0B" w:rsidRPr="00D06F76">
        <w:rPr>
          <w:rFonts w:ascii="Calibri" w:hAnsi="Calibri"/>
          <w:sz w:val="24"/>
        </w:rPr>
        <w:t>………………</w:t>
      </w:r>
      <w:r w:rsidR="006E5F0B">
        <w:rPr>
          <w:rFonts w:ascii="Calibri" w:hAnsi="Calibri"/>
          <w:sz w:val="24"/>
        </w:rPr>
        <w:t>……..</w:t>
      </w:r>
      <w:r w:rsidR="00986533">
        <w:rPr>
          <w:rFonts w:ascii="Calibri" w:hAnsi="Calibri"/>
          <w:sz w:val="24"/>
        </w:rPr>
        <w:tab/>
      </w:r>
      <w:r w:rsidRPr="00D06F76">
        <w:rPr>
          <w:rFonts w:ascii="Calibri" w:hAnsi="Calibri"/>
          <w:sz w:val="24"/>
        </w:rPr>
        <w:t xml:space="preserve">V </w:t>
      </w:r>
      <w:r w:rsidR="006E5F0B" w:rsidRPr="00D06F76">
        <w:rPr>
          <w:rFonts w:ascii="Calibri" w:hAnsi="Calibri"/>
          <w:sz w:val="24"/>
        </w:rPr>
        <w:t>………………</w:t>
      </w:r>
      <w:r w:rsidR="006E5F0B">
        <w:rPr>
          <w:rFonts w:ascii="Calibri" w:hAnsi="Calibri"/>
          <w:sz w:val="24"/>
        </w:rPr>
        <w:t>…….. d</w:t>
      </w:r>
      <w:r w:rsidRPr="00D06F76">
        <w:rPr>
          <w:rFonts w:ascii="Calibri" w:hAnsi="Calibri"/>
          <w:sz w:val="24"/>
        </w:rPr>
        <w:t xml:space="preserve">ne </w:t>
      </w:r>
      <w:r w:rsidR="006E5F0B" w:rsidRPr="00D06F76">
        <w:rPr>
          <w:rFonts w:ascii="Calibri" w:hAnsi="Calibri"/>
          <w:sz w:val="24"/>
        </w:rPr>
        <w:t>………………</w:t>
      </w:r>
      <w:r w:rsidR="006E5F0B">
        <w:rPr>
          <w:rFonts w:ascii="Calibri" w:hAnsi="Calibri"/>
          <w:sz w:val="24"/>
        </w:rPr>
        <w:t>……..</w:t>
      </w:r>
    </w:p>
    <w:p w:rsidR="00D932A0" w:rsidRPr="00D06F76" w:rsidRDefault="00D932A0" w:rsidP="00201CFC">
      <w:pPr>
        <w:pStyle w:val="Zkladntext"/>
        <w:tabs>
          <w:tab w:val="left" w:pos="284"/>
        </w:tabs>
        <w:autoSpaceDE w:val="0"/>
        <w:autoSpaceDN w:val="0"/>
        <w:spacing w:line="276" w:lineRule="auto"/>
        <w:ind w:left="360"/>
        <w:rPr>
          <w:rFonts w:ascii="Calibri" w:hAnsi="Calibri"/>
          <w:sz w:val="24"/>
        </w:rPr>
      </w:pPr>
    </w:p>
    <w:p w:rsidR="00D932A0" w:rsidRPr="00D06F76" w:rsidRDefault="00D932A0" w:rsidP="00201CFC">
      <w:pPr>
        <w:pStyle w:val="Zkladntext"/>
        <w:tabs>
          <w:tab w:val="left" w:pos="284"/>
          <w:tab w:val="left" w:pos="5103"/>
        </w:tabs>
        <w:autoSpaceDE w:val="0"/>
        <w:autoSpaceDN w:val="0"/>
        <w:spacing w:line="276" w:lineRule="auto"/>
        <w:rPr>
          <w:rFonts w:ascii="Calibri" w:hAnsi="Calibri"/>
          <w:sz w:val="24"/>
        </w:rPr>
      </w:pPr>
      <w:r w:rsidRPr="00D06F76">
        <w:rPr>
          <w:rFonts w:ascii="Calibri" w:hAnsi="Calibri"/>
          <w:b/>
          <w:sz w:val="24"/>
        </w:rPr>
        <w:t>Za skladovatele</w:t>
      </w:r>
      <w:r w:rsidRPr="00D06F76">
        <w:rPr>
          <w:rFonts w:ascii="Calibri" w:hAnsi="Calibri"/>
          <w:sz w:val="24"/>
        </w:rPr>
        <w:t xml:space="preserve">:                                                     </w:t>
      </w:r>
      <w:r w:rsidR="00986533">
        <w:rPr>
          <w:rFonts w:ascii="Calibri" w:hAnsi="Calibri"/>
          <w:sz w:val="24"/>
        </w:rPr>
        <w:tab/>
      </w:r>
      <w:r w:rsidRPr="00D06F76">
        <w:rPr>
          <w:rFonts w:ascii="Calibri" w:hAnsi="Calibri"/>
          <w:b/>
          <w:sz w:val="24"/>
        </w:rPr>
        <w:t>Za ukladatele</w:t>
      </w:r>
      <w:r w:rsidRPr="00D06F76">
        <w:rPr>
          <w:rFonts w:ascii="Calibri" w:hAnsi="Calibri"/>
          <w:sz w:val="24"/>
        </w:rPr>
        <w:t xml:space="preserve">:        </w:t>
      </w:r>
    </w:p>
    <w:p w:rsidR="00D932A0" w:rsidRDefault="00D932A0" w:rsidP="00201CFC">
      <w:pPr>
        <w:pStyle w:val="Zkladntext"/>
        <w:tabs>
          <w:tab w:val="left" w:pos="284"/>
        </w:tabs>
        <w:autoSpaceDE w:val="0"/>
        <w:autoSpaceDN w:val="0"/>
        <w:spacing w:line="276" w:lineRule="auto"/>
        <w:ind w:left="360"/>
        <w:rPr>
          <w:rFonts w:ascii="Calibri" w:hAnsi="Calibri"/>
          <w:sz w:val="24"/>
        </w:rPr>
      </w:pPr>
    </w:p>
    <w:p w:rsidR="00986533" w:rsidRDefault="00986533" w:rsidP="00201CFC">
      <w:pPr>
        <w:pStyle w:val="Zkladntext"/>
        <w:tabs>
          <w:tab w:val="left" w:pos="284"/>
        </w:tabs>
        <w:autoSpaceDE w:val="0"/>
        <w:autoSpaceDN w:val="0"/>
        <w:spacing w:line="276" w:lineRule="auto"/>
        <w:ind w:left="360"/>
        <w:rPr>
          <w:rFonts w:ascii="Calibri" w:hAnsi="Calibri"/>
          <w:sz w:val="24"/>
        </w:rPr>
      </w:pPr>
    </w:p>
    <w:p w:rsidR="00CD4F6A" w:rsidRDefault="00CD4F6A" w:rsidP="00201CFC">
      <w:pPr>
        <w:widowControl/>
        <w:overflowPunct/>
        <w:autoSpaceDE/>
        <w:autoSpaceDN/>
        <w:adjustRightInd/>
        <w:spacing w:line="276" w:lineRule="auto"/>
        <w:jc w:val="left"/>
        <w:textAlignment w:val="auto"/>
        <w:rPr>
          <w:rFonts w:ascii="Calibri" w:hAnsi="Calibri"/>
          <w:b/>
          <w:color w:val="627D0E"/>
          <w:sz w:val="32"/>
          <w:szCs w:val="32"/>
        </w:rPr>
      </w:pPr>
      <w:r>
        <w:rPr>
          <w:rFonts w:ascii="Calibri" w:hAnsi="Calibri"/>
          <w:b/>
          <w:color w:val="627D0E"/>
          <w:sz w:val="32"/>
          <w:szCs w:val="32"/>
        </w:rPr>
        <w:br w:type="page"/>
      </w:r>
    </w:p>
    <w:p w:rsidR="00CD4F6A" w:rsidRDefault="00CD4F6A" w:rsidP="00201CFC">
      <w:pPr>
        <w:spacing w:line="276" w:lineRule="auto"/>
        <w:jc w:val="left"/>
        <w:rPr>
          <w:rFonts w:ascii="Calibri" w:hAnsi="Calibri"/>
          <w:b/>
          <w:color w:val="627D0E"/>
          <w:sz w:val="32"/>
          <w:szCs w:val="32"/>
        </w:rPr>
      </w:pPr>
      <w:r>
        <w:rPr>
          <w:rFonts w:ascii="Calibri" w:hAnsi="Calibri"/>
          <w:b/>
          <w:noProof/>
          <w:color w:val="627D0E"/>
          <w:sz w:val="32"/>
          <w:szCs w:val="32"/>
          <w:lang w:val="sk-SK" w:eastAsia="sk-SK"/>
        </w:rPr>
        <w:lastRenderedPageBreak/>
        <w:drawing>
          <wp:inline distT="0" distB="0" distL="0" distR="0" wp14:anchorId="0AE38D3E" wp14:editId="56AE350D">
            <wp:extent cx="6192520" cy="4524247"/>
            <wp:effectExtent l="0" t="0" r="17780" b="10160"/>
            <wp:docPr id="2" name="objek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D4F6A" w:rsidRDefault="00CD4F6A" w:rsidP="00201CFC">
      <w:pPr>
        <w:widowControl/>
        <w:overflowPunct/>
        <w:autoSpaceDE/>
        <w:autoSpaceDN/>
        <w:adjustRightInd/>
        <w:spacing w:line="276" w:lineRule="auto"/>
        <w:jc w:val="left"/>
        <w:textAlignment w:val="auto"/>
        <w:rPr>
          <w:rFonts w:ascii="Calibri" w:hAnsi="Calibri"/>
          <w:b/>
          <w:color w:val="627D0E"/>
          <w:sz w:val="32"/>
          <w:szCs w:val="32"/>
        </w:rPr>
      </w:pPr>
      <w:r>
        <w:rPr>
          <w:rFonts w:ascii="Calibri" w:hAnsi="Calibri"/>
          <w:b/>
          <w:color w:val="627D0E"/>
          <w:sz w:val="32"/>
          <w:szCs w:val="32"/>
        </w:rPr>
        <w:br w:type="page"/>
      </w:r>
    </w:p>
    <w:p w:rsidR="00986533" w:rsidRDefault="00CD4F6A" w:rsidP="00201CFC">
      <w:pPr>
        <w:spacing w:line="276" w:lineRule="auto"/>
        <w:jc w:val="left"/>
        <w:rPr>
          <w:rFonts w:ascii="Calibri" w:hAnsi="Calibri"/>
          <w:b/>
          <w:color w:val="627D0E"/>
          <w:sz w:val="32"/>
          <w:szCs w:val="32"/>
        </w:rPr>
      </w:pPr>
      <w:r>
        <w:rPr>
          <w:rFonts w:ascii="Calibri" w:hAnsi="Calibri"/>
          <w:b/>
          <w:noProof/>
          <w:color w:val="627D0E"/>
          <w:sz w:val="32"/>
          <w:szCs w:val="32"/>
          <w:lang w:val="sk-SK" w:eastAsia="sk-SK"/>
        </w:rPr>
        <w:lastRenderedPageBreak/>
        <w:drawing>
          <wp:inline distT="0" distB="0" distL="0" distR="0" wp14:anchorId="21CC2968" wp14:editId="305D35FA">
            <wp:extent cx="6192520" cy="4390269"/>
            <wp:effectExtent l="0" t="0" r="17780" b="10795"/>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sectPr w:rsidR="00986533" w:rsidSect="00751280">
      <w:headerReference w:type="default" r:id="rId11"/>
      <w:footerReference w:type="default" r:id="rId12"/>
      <w:pgSz w:w="11906" w:h="16838" w:code="9"/>
      <w:pgMar w:top="1440" w:right="1077" w:bottom="1440" w:left="1077"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739" w:rsidRDefault="002F3739">
      <w:r>
        <w:separator/>
      </w:r>
    </w:p>
  </w:endnote>
  <w:endnote w:type="continuationSeparator" w:id="0">
    <w:p w:rsidR="002F3739" w:rsidRDefault="002F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60D" w:rsidRDefault="008D3515">
    <w:pPr>
      <w:pStyle w:val="Zpat"/>
    </w:pPr>
    <w:r>
      <w:rPr>
        <w:noProof/>
        <w:lang w:val="sk-SK" w:eastAsia="sk-SK"/>
      </w:rPr>
      <w:drawing>
        <wp:inline distT="0" distB="0" distL="0" distR="0" wp14:anchorId="24CF31A4" wp14:editId="3BB015B4">
          <wp:extent cx="6253316" cy="321758"/>
          <wp:effectExtent l="0" t="0" r="0" b="2540"/>
          <wp:docPr id="7" name="Obrázek 7" descr="pásek-www-mnd-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ásek-www-mnd-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6520" cy="32192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739" w:rsidRDefault="002F3739">
      <w:r>
        <w:separator/>
      </w:r>
    </w:p>
  </w:footnote>
  <w:footnote w:type="continuationSeparator" w:id="0">
    <w:p w:rsidR="002F3739" w:rsidRDefault="002F3739">
      <w:r>
        <w:continuationSeparator/>
      </w:r>
    </w:p>
  </w:footnote>
  <w:footnote w:id="1">
    <w:p w:rsidR="007A3CD4" w:rsidRPr="002C1C64" w:rsidRDefault="007A3CD4" w:rsidP="002C1C64">
      <w:pPr>
        <w:pStyle w:val="Textpoznpodarou"/>
        <w:tabs>
          <w:tab w:val="left" w:pos="284"/>
        </w:tabs>
        <w:rPr>
          <w:rFonts w:asciiTheme="minorHAnsi" w:hAnsiTheme="minorHAnsi"/>
        </w:rPr>
      </w:pPr>
      <w:r w:rsidRPr="002C1C64">
        <w:rPr>
          <w:rStyle w:val="Znakapoznpodarou"/>
          <w:rFonts w:asciiTheme="minorHAnsi" w:hAnsiTheme="minorHAnsi"/>
        </w:rPr>
        <w:footnoteRef/>
      </w:r>
      <w:r w:rsidRPr="002C1C64">
        <w:rPr>
          <w:rFonts w:asciiTheme="minorHAnsi" w:hAnsiTheme="minorHAnsi"/>
        </w:rPr>
        <w:t xml:space="preserve"> </w:t>
      </w:r>
      <w:r w:rsidR="002C1C64" w:rsidRPr="002C1C64">
        <w:rPr>
          <w:rFonts w:asciiTheme="minorHAnsi" w:hAnsiTheme="minorHAnsi"/>
        </w:rPr>
        <w:tab/>
      </w:r>
      <w:r w:rsidRPr="002C1C64">
        <w:rPr>
          <w:rFonts w:asciiTheme="minorHAnsi" w:hAnsiTheme="minorHAnsi"/>
        </w:rPr>
        <w:t xml:space="preserve">K okamžiku vyhlášení aukce je indikativní tabulka zveřejněna na </w:t>
      </w:r>
      <w:r w:rsidR="002C1C64" w:rsidRPr="002C1C64">
        <w:rPr>
          <w:rFonts w:asciiTheme="minorHAnsi" w:hAnsiTheme="minorHAnsi"/>
        </w:rPr>
        <w:tab/>
      </w:r>
      <w:r w:rsidRPr="002C1C64">
        <w:rPr>
          <w:rFonts w:asciiTheme="minorHAnsi" w:hAnsiTheme="minorHAnsi"/>
        </w:rPr>
        <w:t>http://www.czso.cz/csu/2014edicniplan.nsf/t/B00037D1FE/$File/11002414q3102.pdf</w:t>
      </w:r>
    </w:p>
  </w:footnote>
  <w:footnote w:id="2">
    <w:p w:rsidR="007A3CD4" w:rsidRPr="002C1C64" w:rsidRDefault="007A3CD4" w:rsidP="002C1C64">
      <w:pPr>
        <w:pStyle w:val="Textpoznpodarou"/>
        <w:tabs>
          <w:tab w:val="left" w:pos="284"/>
        </w:tabs>
        <w:rPr>
          <w:rFonts w:asciiTheme="minorHAnsi" w:hAnsiTheme="minorHAnsi"/>
        </w:rPr>
      </w:pPr>
      <w:r w:rsidRPr="002C1C64">
        <w:rPr>
          <w:rStyle w:val="Znakapoznpodarou"/>
          <w:rFonts w:asciiTheme="minorHAnsi" w:hAnsiTheme="minorHAnsi"/>
        </w:rPr>
        <w:footnoteRef/>
      </w:r>
      <w:r w:rsidRPr="002C1C64">
        <w:rPr>
          <w:rFonts w:asciiTheme="minorHAnsi" w:hAnsiTheme="minorHAnsi"/>
        </w:rPr>
        <w:t xml:space="preserve"> </w:t>
      </w:r>
      <w:r w:rsidR="002C1C64" w:rsidRPr="002C1C64">
        <w:rPr>
          <w:rFonts w:asciiTheme="minorHAnsi" w:hAnsiTheme="minorHAnsi"/>
        </w:rPr>
        <w:tab/>
        <w:t>K okamžiku vyhlášení aukce je indikativní tabulka zveřejněna na</w:t>
      </w:r>
    </w:p>
    <w:p w:rsidR="002C1C64" w:rsidRPr="002C1C64" w:rsidRDefault="002C1C64" w:rsidP="002C1C64">
      <w:pPr>
        <w:pStyle w:val="Textpoznpodarou"/>
        <w:tabs>
          <w:tab w:val="left" w:pos="284"/>
        </w:tabs>
        <w:rPr>
          <w:rFonts w:asciiTheme="minorHAnsi" w:hAnsiTheme="minorHAnsi"/>
        </w:rPr>
      </w:pPr>
      <w:r w:rsidRPr="002C1C64">
        <w:rPr>
          <w:rFonts w:asciiTheme="minorHAnsi" w:hAnsiTheme="minorHAnsi"/>
        </w:rPr>
        <w:tab/>
        <w:t>http://www.czso.cz/csu/2014edicniplan.nsf/t/D3001E8C4F/$File/011044141205.pdf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60D" w:rsidRPr="00871689" w:rsidRDefault="00DC060D" w:rsidP="004234F2">
    <w:pPr>
      <w:pStyle w:val="Zhlav"/>
      <w:jc w:val="right"/>
      <w:rPr>
        <w:sz w:val="16"/>
        <w:szCs w:val="16"/>
      </w:rPr>
    </w:pPr>
  </w:p>
  <w:p w:rsidR="00DC060D" w:rsidRDefault="008D3515">
    <w:pPr>
      <w:pStyle w:val="Zhlav"/>
    </w:pPr>
    <w:r>
      <w:rPr>
        <w:noProof/>
        <w:lang w:val="sk-SK" w:eastAsia="sk-SK"/>
      </w:rPr>
      <w:drawing>
        <wp:inline distT="0" distB="0" distL="0" distR="0" wp14:anchorId="076BF05A" wp14:editId="52F06C89">
          <wp:extent cx="6158927" cy="430653"/>
          <wp:effectExtent l="0" t="0" r="0" b="7620"/>
          <wp:docPr id="6" name="Obrázek 6" descr="MND_GAS_jen 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ND_GAS_jen fir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059" cy="432690"/>
                  </a:xfrm>
                  <a:prstGeom prst="rect">
                    <a:avLst/>
                  </a:prstGeom>
                  <a:noFill/>
                  <a:ln>
                    <a:noFill/>
                  </a:ln>
                </pic:spPr>
              </pic:pic>
            </a:graphicData>
          </a:graphic>
        </wp:inline>
      </w:drawing>
    </w:r>
  </w:p>
  <w:p w:rsidR="008D3515" w:rsidRDefault="008D351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3293B"/>
    <w:multiLevelType w:val="hybridMultilevel"/>
    <w:tmpl w:val="F16A273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1F386473"/>
    <w:multiLevelType w:val="hybridMultilevel"/>
    <w:tmpl w:val="A3486850"/>
    <w:lvl w:ilvl="0" w:tplc="2CF4EC1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29CE079C"/>
    <w:multiLevelType w:val="hybridMultilevel"/>
    <w:tmpl w:val="68B09D86"/>
    <w:lvl w:ilvl="0" w:tplc="9DD8DB3A">
      <w:start w:val="1"/>
      <w:numFmt w:val="decimal"/>
      <w:lvlText w:val="%1."/>
      <w:lvlJc w:val="left"/>
      <w:pPr>
        <w:tabs>
          <w:tab w:val="num" w:pos="360"/>
        </w:tabs>
        <w:ind w:left="360" w:hanging="360"/>
      </w:pPr>
      <w:rPr>
        <w:rFonts w:hint="default"/>
        <w:b w:val="0"/>
        <w:bCs w:val="0"/>
        <w:i w:val="0"/>
        <w:iCs w:val="0"/>
        <w:sz w:val="24"/>
        <w:szCs w:val="24"/>
        <w:u w:val="no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2B12015E"/>
    <w:multiLevelType w:val="multilevel"/>
    <w:tmpl w:val="CEBC9ABE"/>
    <w:lvl w:ilvl="0">
      <w:start w:val="1"/>
      <w:numFmt w:val="decimal"/>
      <w:lvlText w:val="%1."/>
      <w:lvlJc w:val="left"/>
      <w:pPr>
        <w:tabs>
          <w:tab w:val="num" w:pos="360"/>
        </w:tabs>
        <w:ind w:left="360" w:hanging="360"/>
      </w:pPr>
      <w:rPr>
        <w:rFonts w:hint="default"/>
        <w:b/>
        <w:bCs w:val="0"/>
        <w:i w:val="0"/>
        <w:iCs w:val="0"/>
        <w:sz w:val="24"/>
        <w:szCs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7E31450"/>
    <w:multiLevelType w:val="hybridMultilevel"/>
    <w:tmpl w:val="2C54DFBE"/>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9">
      <w:start w:val="1"/>
      <w:numFmt w:val="lowerLetter"/>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49162642"/>
    <w:multiLevelType w:val="hybridMultilevel"/>
    <w:tmpl w:val="6BEA8FE0"/>
    <w:lvl w:ilvl="0" w:tplc="9C10B342">
      <w:start w:val="1"/>
      <w:numFmt w:val="lowerLetter"/>
      <w:lvlText w:val="%1)"/>
      <w:lvlJc w:val="left"/>
      <w:pPr>
        <w:ind w:left="360" w:hanging="360"/>
      </w:pPr>
      <w:rPr>
        <w:rFonts w:hint="default"/>
      </w:rPr>
    </w:lvl>
    <w:lvl w:ilvl="1" w:tplc="04050019">
      <w:start w:val="1"/>
      <w:numFmt w:val="lowerLetter"/>
      <w:lvlText w:val="%2."/>
      <w:lvlJc w:val="left"/>
      <w:pPr>
        <w:ind w:left="1515" w:hanging="360"/>
      </w:pPr>
    </w:lvl>
    <w:lvl w:ilvl="2" w:tplc="0405001B">
      <w:start w:val="1"/>
      <w:numFmt w:val="lowerRoman"/>
      <w:lvlText w:val="%3."/>
      <w:lvlJc w:val="right"/>
      <w:pPr>
        <w:ind w:left="2235" w:hanging="180"/>
      </w:pPr>
    </w:lvl>
    <w:lvl w:ilvl="3" w:tplc="0405000F">
      <w:start w:val="1"/>
      <w:numFmt w:val="decimal"/>
      <w:lvlText w:val="%4."/>
      <w:lvlJc w:val="left"/>
      <w:pPr>
        <w:ind w:left="2955" w:hanging="360"/>
      </w:pPr>
    </w:lvl>
    <w:lvl w:ilvl="4" w:tplc="04050019">
      <w:start w:val="1"/>
      <w:numFmt w:val="lowerLetter"/>
      <w:lvlText w:val="%5."/>
      <w:lvlJc w:val="left"/>
      <w:pPr>
        <w:ind w:left="3675" w:hanging="360"/>
      </w:pPr>
    </w:lvl>
    <w:lvl w:ilvl="5" w:tplc="0405001B">
      <w:start w:val="1"/>
      <w:numFmt w:val="lowerRoman"/>
      <w:lvlText w:val="%6."/>
      <w:lvlJc w:val="right"/>
      <w:pPr>
        <w:ind w:left="4395" w:hanging="180"/>
      </w:pPr>
    </w:lvl>
    <w:lvl w:ilvl="6" w:tplc="0405000F">
      <w:start w:val="1"/>
      <w:numFmt w:val="decimal"/>
      <w:lvlText w:val="%7."/>
      <w:lvlJc w:val="left"/>
      <w:pPr>
        <w:ind w:left="5115" w:hanging="360"/>
      </w:pPr>
    </w:lvl>
    <w:lvl w:ilvl="7" w:tplc="04050019">
      <w:start w:val="1"/>
      <w:numFmt w:val="lowerLetter"/>
      <w:lvlText w:val="%8."/>
      <w:lvlJc w:val="left"/>
      <w:pPr>
        <w:ind w:left="5835" w:hanging="360"/>
      </w:pPr>
    </w:lvl>
    <w:lvl w:ilvl="8" w:tplc="0405001B">
      <w:start w:val="1"/>
      <w:numFmt w:val="lowerRoman"/>
      <w:lvlText w:val="%9."/>
      <w:lvlJc w:val="right"/>
      <w:pPr>
        <w:ind w:left="6555" w:hanging="180"/>
      </w:pPr>
    </w:lvl>
  </w:abstractNum>
  <w:abstractNum w:abstractNumId="6">
    <w:nsid w:val="4D7830E0"/>
    <w:multiLevelType w:val="multilevel"/>
    <w:tmpl w:val="7F766902"/>
    <w:lvl w:ilvl="0">
      <w:start w:val="1"/>
      <w:numFmt w:val="decimal"/>
      <w:lvlText w:val="%1"/>
      <w:lvlJc w:val="left"/>
      <w:pPr>
        <w:ind w:left="1416" w:hanging="1416"/>
      </w:pPr>
      <w:rPr>
        <w:rFonts w:hint="default"/>
      </w:rPr>
    </w:lvl>
    <w:lvl w:ilvl="1">
      <w:start w:val="1"/>
      <w:numFmt w:val="decimal"/>
      <w:lvlText w:val="%1.%2"/>
      <w:lvlJc w:val="left"/>
      <w:pPr>
        <w:ind w:left="1842" w:hanging="1416"/>
      </w:pPr>
      <w:rPr>
        <w:rFonts w:hint="default"/>
        <w:b w:val="0"/>
      </w:rPr>
    </w:lvl>
    <w:lvl w:ilvl="2">
      <w:start w:val="1"/>
      <w:numFmt w:val="decimal"/>
      <w:lvlText w:val="%1.%2.%3"/>
      <w:lvlJc w:val="left"/>
      <w:pPr>
        <w:ind w:left="1984" w:hanging="1416"/>
      </w:pPr>
      <w:rPr>
        <w:rFonts w:hint="default"/>
        <w:b/>
      </w:rPr>
    </w:lvl>
    <w:lvl w:ilvl="3">
      <w:start w:val="1"/>
      <w:numFmt w:val="decimal"/>
      <w:lvlText w:val="%1.%2.%3.%4"/>
      <w:lvlJc w:val="left"/>
      <w:pPr>
        <w:ind w:left="2694" w:hanging="1416"/>
      </w:pPr>
      <w:rPr>
        <w:rFonts w:hint="default"/>
      </w:rPr>
    </w:lvl>
    <w:lvl w:ilvl="4">
      <w:start w:val="1"/>
      <w:numFmt w:val="decimal"/>
      <w:lvlText w:val="%1.%2.%3.%4.%5"/>
      <w:lvlJc w:val="left"/>
      <w:pPr>
        <w:ind w:left="3120" w:hanging="1416"/>
      </w:pPr>
      <w:rPr>
        <w:rFonts w:hint="default"/>
      </w:rPr>
    </w:lvl>
    <w:lvl w:ilvl="5">
      <w:start w:val="1"/>
      <w:numFmt w:val="decimal"/>
      <w:lvlText w:val="%1.%2.%3.%4.%5.%6"/>
      <w:lvlJc w:val="left"/>
      <w:pPr>
        <w:ind w:left="3546" w:hanging="1416"/>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50E34F72"/>
    <w:multiLevelType w:val="hybridMultilevel"/>
    <w:tmpl w:val="FE943B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1863E92"/>
    <w:multiLevelType w:val="hybridMultilevel"/>
    <w:tmpl w:val="D9DA35EE"/>
    <w:lvl w:ilvl="0" w:tplc="CD0AB74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nsid w:val="52B400D9"/>
    <w:multiLevelType w:val="hybridMultilevel"/>
    <w:tmpl w:val="E158760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5FDC47D4"/>
    <w:multiLevelType w:val="hybridMultilevel"/>
    <w:tmpl w:val="8CA4D644"/>
    <w:lvl w:ilvl="0" w:tplc="0405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60875776"/>
    <w:multiLevelType w:val="hybridMultilevel"/>
    <w:tmpl w:val="960EF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6AA04CCF"/>
    <w:multiLevelType w:val="hybridMultilevel"/>
    <w:tmpl w:val="76588A4A"/>
    <w:lvl w:ilvl="0" w:tplc="DCBCD668">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0D73B92"/>
    <w:multiLevelType w:val="hybridMultilevel"/>
    <w:tmpl w:val="5CB89288"/>
    <w:lvl w:ilvl="0" w:tplc="7CBE192E">
      <w:start w:val="5"/>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71C5735B"/>
    <w:multiLevelType w:val="hybridMultilevel"/>
    <w:tmpl w:val="199AA1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2A73A53"/>
    <w:multiLevelType w:val="hybridMultilevel"/>
    <w:tmpl w:val="AC0CEE8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nsid w:val="72FA4306"/>
    <w:multiLevelType w:val="hybridMultilevel"/>
    <w:tmpl w:val="7150A24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7">
    <w:nsid w:val="779860A7"/>
    <w:multiLevelType w:val="hybridMultilevel"/>
    <w:tmpl w:val="B066ACB4"/>
    <w:lvl w:ilvl="0" w:tplc="FFFFFFFF">
      <w:start w:val="1"/>
      <w:numFmt w:val="lowerLetter"/>
      <w:lvlText w:val="%1)"/>
      <w:lvlJc w:val="left"/>
      <w:pPr>
        <w:tabs>
          <w:tab w:val="num" w:pos="283"/>
        </w:tabs>
        <w:ind w:left="566" w:hanging="283"/>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799D4338"/>
    <w:multiLevelType w:val="hybridMultilevel"/>
    <w:tmpl w:val="E58CAED6"/>
    <w:lvl w:ilvl="0" w:tplc="93A6CD3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ABE0FA7"/>
    <w:multiLevelType w:val="hybridMultilevel"/>
    <w:tmpl w:val="4B42A656"/>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18"/>
  </w:num>
  <w:num w:numId="3">
    <w:abstractNumId w:val="7"/>
  </w:num>
  <w:num w:numId="4">
    <w:abstractNumId w:val="1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
  </w:num>
  <w:num w:numId="9">
    <w:abstractNumId w:val="1"/>
  </w:num>
  <w:num w:numId="10">
    <w:abstractNumId w:val="5"/>
  </w:num>
  <w:num w:numId="11">
    <w:abstractNumId w:val="4"/>
  </w:num>
  <w:num w:numId="12">
    <w:abstractNumId w:val="11"/>
  </w:num>
  <w:num w:numId="13">
    <w:abstractNumId w:val="3"/>
  </w:num>
  <w:num w:numId="14">
    <w:abstractNumId w:val="0"/>
  </w:num>
  <w:num w:numId="15">
    <w:abstractNumId w:val="6"/>
  </w:num>
  <w:num w:numId="16">
    <w:abstractNumId w:val="16"/>
  </w:num>
  <w:num w:numId="17">
    <w:abstractNumId w:val="12"/>
  </w:num>
  <w:num w:numId="18">
    <w:abstractNumId w:val="8"/>
  </w:num>
  <w:num w:numId="19">
    <w:abstractNumId w:val="10"/>
  </w:num>
  <w:num w:numId="20">
    <w:abstractNumId w:val="9"/>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89"/>
    <w:rsid w:val="000113DA"/>
    <w:rsid w:val="00016CDF"/>
    <w:rsid w:val="00026E69"/>
    <w:rsid w:val="00035B9B"/>
    <w:rsid w:val="00036097"/>
    <w:rsid w:val="000423AC"/>
    <w:rsid w:val="00054D47"/>
    <w:rsid w:val="0006039D"/>
    <w:rsid w:val="00060FCE"/>
    <w:rsid w:val="0006376E"/>
    <w:rsid w:val="00070477"/>
    <w:rsid w:val="00082778"/>
    <w:rsid w:val="00082F79"/>
    <w:rsid w:val="000A0418"/>
    <w:rsid w:val="000A33DE"/>
    <w:rsid w:val="000E14CC"/>
    <w:rsid w:val="000E4188"/>
    <w:rsid w:val="000E53E3"/>
    <w:rsid w:val="000E6E78"/>
    <w:rsid w:val="000E7458"/>
    <w:rsid w:val="000F3D25"/>
    <w:rsid w:val="000F5610"/>
    <w:rsid w:val="000F5F93"/>
    <w:rsid w:val="000F6CEA"/>
    <w:rsid w:val="00101CA0"/>
    <w:rsid w:val="00106538"/>
    <w:rsid w:val="0011242E"/>
    <w:rsid w:val="00120617"/>
    <w:rsid w:val="00122E86"/>
    <w:rsid w:val="00125341"/>
    <w:rsid w:val="00130255"/>
    <w:rsid w:val="00133FF8"/>
    <w:rsid w:val="00134F6A"/>
    <w:rsid w:val="00141A8B"/>
    <w:rsid w:val="00143A51"/>
    <w:rsid w:val="00146C6A"/>
    <w:rsid w:val="00152685"/>
    <w:rsid w:val="0016397E"/>
    <w:rsid w:val="0016799F"/>
    <w:rsid w:val="0017144D"/>
    <w:rsid w:val="00172D98"/>
    <w:rsid w:val="00180962"/>
    <w:rsid w:val="00186FA7"/>
    <w:rsid w:val="00187A38"/>
    <w:rsid w:val="00193B3E"/>
    <w:rsid w:val="00196A14"/>
    <w:rsid w:val="001A1022"/>
    <w:rsid w:val="001A510A"/>
    <w:rsid w:val="001B412A"/>
    <w:rsid w:val="001B79F3"/>
    <w:rsid w:val="001C467E"/>
    <w:rsid w:val="001D2831"/>
    <w:rsid w:val="001E0F19"/>
    <w:rsid w:val="001F3554"/>
    <w:rsid w:val="001F4B82"/>
    <w:rsid w:val="001F4F23"/>
    <w:rsid w:val="00201CFC"/>
    <w:rsid w:val="00210A71"/>
    <w:rsid w:val="00211B34"/>
    <w:rsid w:val="00214768"/>
    <w:rsid w:val="00222845"/>
    <w:rsid w:val="002369FD"/>
    <w:rsid w:val="00242BB0"/>
    <w:rsid w:val="00250703"/>
    <w:rsid w:val="00251065"/>
    <w:rsid w:val="00253725"/>
    <w:rsid w:val="00263C38"/>
    <w:rsid w:val="00272C7F"/>
    <w:rsid w:val="00280E94"/>
    <w:rsid w:val="002830DD"/>
    <w:rsid w:val="002839B9"/>
    <w:rsid w:val="002846F2"/>
    <w:rsid w:val="00286D5D"/>
    <w:rsid w:val="00294E54"/>
    <w:rsid w:val="00297FA2"/>
    <w:rsid w:val="002B15AE"/>
    <w:rsid w:val="002B2A5E"/>
    <w:rsid w:val="002C0151"/>
    <w:rsid w:val="002C1C64"/>
    <w:rsid w:val="002E51B2"/>
    <w:rsid w:val="002F3739"/>
    <w:rsid w:val="003005DA"/>
    <w:rsid w:val="00302BDE"/>
    <w:rsid w:val="00314F50"/>
    <w:rsid w:val="00344459"/>
    <w:rsid w:val="00344C08"/>
    <w:rsid w:val="00347D4D"/>
    <w:rsid w:val="00356126"/>
    <w:rsid w:val="0036475E"/>
    <w:rsid w:val="003656FC"/>
    <w:rsid w:val="0037140F"/>
    <w:rsid w:val="00371B38"/>
    <w:rsid w:val="0037554D"/>
    <w:rsid w:val="00381FEA"/>
    <w:rsid w:val="00384D0A"/>
    <w:rsid w:val="003876F7"/>
    <w:rsid w:val="00393E6D"/>
    <w:rsid w:val="003A0920"/>
    <w:rsid w:val="003A2B0F"/>
    <w:rsid w:val="003B2AF2"/>
    <w:rsid w:val="003B5B2A"/>
    <w:rsid w:val="003D3BB2"/>
    <w:rsid w:val="003E0FDE"/>
    <w:rsid w:val="003E1F8C"/>
    <w:rsid w:val="003E4B52"/>
    <w:rsid w:val="003F1E1D"/>
    <w:rsid w:val="004152A8"/>
    <w:rsid w:val="0041552F"/>
    <w:rsid w:val="00420291"/>
    <w:rsid w:val="004210DF"/>
    <w:rsid w:val="00422FDA"/>
    <w:rsid w:val="004234F2"/>
    <w:rsid w:val="00427C92"/>
    <w:rsid w:val="004334C2"/>
    <w:rsid w:val="0044066D"/>
    <w:rsid w:val="00440C0D"/>
    <w:rsid w:val="00441D98"/>
    <w:rsid w:val="00442EE5"/>
    <w:rsid w:val="00446FC5"/>
    <w:rsid w:val="00450654"/>
    <w:rsid w:val="004512C9"/>
    <w:rsid w:val="0045191C"/>
    <w:rsid w:val="0045322F"/>
    <w:rsid w:val="00457CAE"/>
    <w:rsid w:val="00462D5B"/>
    <w:rsid w:val="00481653"/>
    <w:rsid w:val="00494C1D"/>
    <w:rsid w:val="00497748"/>
    <w:rsid w:val="004A3B0D"/>
    <w:rsid w:val="004A5BCD"/>
    <w:rsid w:val="004B2E74"/>
    <w:rsid w:val="004B4530"/>
    <w:rsid w:val="004B65FF"/>
    <w:rsid w:val="004C0E19"/>
    <w:rsid w:val="004D2FFA"/>
    <w:rsid w:val="004E1575"/>
    <w:rsid w:val="004E66F6"/>
    <w:rsid w:val="004E6D62"/>
    <w:rsid w:val="0050142B"/>
    <w:rsid w:val="00520886"/>
    <w:rsid w:val="00521766"/>
    <w:rsid w:val="00521899"/>
    <w:rsid w:val="0052229D"/>
    <w:rsid w:val="00535E54"/>
    <w:rsid w:val="00535F56"/>
    <w:rsid w:val="005503AA"/>
    <w:rsid w:val="00551516"/>
    <w:rsid w:val="005538DD"/>
    <w:rsid w:val="00554ACA"/>
    <w:rsid w:val="00554EBC"/>
    <w:rsid w:val="005737C3"/>
    <w:rsid w:val="00574CD2"/>
    <w:rsid w:val="00594B3A"/>
    <w:rsid w:val="00597CAA"/>
    <w:rsid w:val="005A2278"/>
    <w:rsid w:val="005C2A42"/>
    <w:rsid w:val="005C4076"/>
    <w:rsid w:val="005C74D3"/>
    <w:rsid w:val="005D0B81"/>
    <w:rsid w:val="005E1B5F"/>
    <w:rsid w:val="005E6BBF"/>
    <w:rsid w:val="005E79D9"/>
    <w:rsid w:val="005F0CE3"/>
    <w:rsid w:val="005F1437"/>
    <w:rsid w:val="005F1A2E"/>
    <w:rsid w:val="005F340A"/>
    <w:rsid w:val="005F57E6"/>
    <w:rsid w:val="00603D27"/>
    <w:rsid w:val="00611626"/>
    <w:rsid w:val="00613340"/>
    <w:rsid w:val="006133F7"/>
    <w:rsid w:val="006154E1"/>
    <w:rsid w:val="00620C48"/>
    <w:rsid w:val="0062124A"/>
    <w:rsid w:val="006219B7"/>
    <w:rsid w:val="00624B70"/>
    <w:rsid w:val="00636BFE"/>
    <w:rsid w:val="0063787B"/>
    <w:rsid w:val="00637D73"/>
    <w:rsid w:val="00637D86"/>
    <w:rsid w:val="00642293"/>
    <w:rsid w:val="00644FEC"/>
    <w:rsid w:val="00645F1B"/>
    <w:rsid w:val="00672AC1"/>
    <w:rsid w:val="00676E62"/>
    <w:rsid w:val="00682580"/>
    <w:rsid w:val="00684B78"/>
    <w:rsid w:val="0069097F"/>
    <w:rsid w:val="00691938"/>
    <w:rsid w:val="00692BCE"/>
    <w:rsid w:val="006A4287"/>
    <w:rsid w:val="006B2FB9"/>
    <w:rsid w:val="006B7322"/>
    <w:rsid w:val="006D15D2"/>
    <w:rsid w:val="006D2D7E"/>
    <w:rsid w:val="006E378D"/>
    <w:rsid w:val="006E3D31"/>
    <w:rsid w:val="006E5F0B"/>
    <w:rsid w:val="006F009B"/>
    <w:rsid w:val="006F0862"/>
    <w:rsid w:val="006F5410"/>
    <w:rsid w:val="006F74D9"/>
    <w:rsid w:val="007046BD"/>
    <w:rsid w:val="00714157"/>
    <w:rsid w:val="0071554C"/>
    <w:rsid w:val="00715674"/>
    <w:rsid w:val="00722705"/>
    <w:rsid w:val="00722E74"/>
    <w:rsid w:val="00725585"/>
    <w:rsid w:val="00730BA0"/>
    <w:rsid w:val="00735FC9"/>
    <w:rsid w:val="00751280"/>
    <w:rsid w:val="00755BAA"/>
    <w:rsid w:val="007562AE"/>
    <w:rsid w:val="00756826"/>
    <w:rsid w:val="00757941"/>
    <w:rsid w:val="007649CD"/>
    <w:rsid w:val="007872CD"/>
    <w:rsid w:val="00795AA3"/>
    <w:rsid w:val="007A04AC"/>
    <w:rsid w:val="007A3CD4"/>
    <w:rsid w:val="007B03E1"/>
    <w:rsid w:val="007B1356"/>
    <w:rsid w:val="007B2ADE"/>
    <w:rsid w:val="007B7836"/>
    <w:rsid w:val="007D4075"/>
    <w:rsid w:val="007E1200"/>
    <w:rsid w:val="007E2737"/>
    <w:rsid w:val="007F6A8C"/>
    <w:rsid w:val="008070A3"/>
    <w:rsid w:val="00820D88"/>
    <w:rsid w:val="008213AE"/>
    <w:rsid w:val="00823E00"/>
    <w:rsid w:val="00825260"/>
    <w:rsid w:val="00834B51"/>
    <w:rsid w:val="00834C59"/>
    <w:rsid w:val="00871689"/>
    <w:rsid w:val="00871763"/>
    <w:rsid w:val="00875A84"/>
    <w:rsid w:val="0087784E"/>
    <w:rsid w:val="00880AE2"/>
    <w:rsid w:val="008855D4"/>
    <w:rsid w:val="00895A4C"/>
    <w:rsid w:val="008A0BC9"/>
    <w:rsid w:val="008A51AF"/>
    <w:rsid w:val="008A6BD0"/>
    <w:rsid w:val="008A6F67"/>
    <w:rsid w:val="008B27C3"/>
    <w:rsid w:val="008B2A09"/>
    <w:rsid w:val="008C2FEC"/>
    <w:rsid w:val="008C5AA2"/>
    <w:rsid w:val="008D3515"/>
    <w:rsid w:val="008D3EF3"/>
    <w:rsid w:val="008E59D5"/>
    <w:rsid w:val="008E63A3"/>
    <w:rsid w:val="008F5DF1"/>
    <w:rsid w:val="00911004"/>
    <w:rsid w:val="0091636E"/>
    <w:rsid w:val="009203D6"/>
    <w:rsid w:val="00922CC0"/>
    <w:rsid w:val="00926EE4"/>
    <w:rsid w:val="00932CD3"/>
    <w:rsid w:val="0093658B"/>
    <w:rsid w:val="00956DAD"/>
    <w:rsid w:val="0095755F"/>
    <w:rsid w:val="00960E1C"/>
    <w:rsid w:val="00975541"/>
    <w:rsid w:val="0097712E"/>
    <w:rsid w:val="00986533"/>
    <w:rsid w:val="00993CD2"/>
    <w:rsid w:val="009A0520"/>
    <w:rsid w:val="009B7866"/>
    <w:rsid w:val="009C08F6"/>
    <w:rsid w:val="009C5EB4"/>
    <w:rsid w:val="009E5D87"/>
    <w:rsid w:val="009E7E21"/>
    <w:rsid w:val="00A0058D"/>
    <w:rsid w:val="00A03FA1"/>
    <w:rsid w:val="00A17E21"/>
    <w:rsid w:val="00A314E5"/>
    <w:rsid w:val="00A32337"/>
    <w:rsid w:val="00A33E92"/>
    <w:rsid w:val="00A452BE"/>
    <w:rsid w:val="00A56A80"/>
    <w:rsid w:val="00A6154A"/>
    <w:rsid w:val="00A64023"/>
    <w:rsid w:val="00A67930"/>
    <w:rsid w:val="00A862DB"/>
    <w:rsid w:val="00AA369B"/>
    <w:rsid w:val="00AA4A67"/>
    <w:rsid w:val="00AB3AD7"/>
    <w:rsid w:val="00AB56CF"/>
    <w:rsid w:val="00B00520"/>
    <w:rsid w:val="00B10BE6"/>
    <w:rsid w:val="00B11870"/>
    <w:rsid w:val="00B1299F"/>
    <w:rsid w:val="00B148EC"/>
    <w:rsid w:val="00B36144"/>
    <w:rsid w:val="00B416A2"/>
    <w:rsid w:val="00B44BA1"/>
    <w:rsid w:val="00B55D7F"/>
    <w:rsid w:val="00B6073A"/>
    <w:rsid w:val="00B647BF"/>
    <w:rsid w:val="00B65303"/>
    <w:rsid w:val="00B81D87"/>
    <w:rsid w:val="00B84088"/>
    <w:rsid w:val="00BC3069"/>
    <w:rsid w:val="00BC3562"/>
    <w:rsid w:val="00BD0B55"/>
    <w:rsid w:val="00BD6D4F"/>
    <w:rsid w:val="00BE57E0"/>
    <w:rsid w:val="00BF6945"/>
    <w:rsid w:val="00C07107"/>
    <w:rsid w:val="00C10EA4"/>
    <w:rsid w:val="00C21495"/>
    <w:rsid w:val="00C233D0"/>
    <w:rsid w:val="00C2485A"/>
    <w:rsid w:val="00C2557B"/>
    <w:rsid w:val="00C4404F"/>
    <w:rsid w:val="00C45F17"/>
    <w:rsid w:val="00C56806"/>
    <w:rsid w:val="00C57D74"/>
    <w:rsid w:val="00C63987"/>
    <w:rsid w:val="00C64E3A"/>
    <w:rsid w:val="00C72926"/>
    <w:rsid w:val="00C74A0A"/>
    <w:rsid w:val="00C81CF6"/>
    <w:rsid w:val="00C82999"/>
    <w:rsid w:val="00C92276"/>
    <w:rsid w:val="00CA100B"/>
    <w:rsid w:val="00CB2621"/>
    <w:rsid w:val="00CB38E3"/>
    <w:rsid w:val="00CC4318"/>
    <w:rsid w:val="00CC58B0"/>
    <w:rsid w:val="00CC78DA"/>
    <w:rsid w:val="00CD1A16"/>
    <w:rsid w:val="00CD4F6A"/>
    <w:rsid w:val="00CD5EFB"/>
    <w:rsid w:val="00CE00AE"/>
    <w:rsid w:val="00CE2849"/>
    <w:rsid w:val="00CE2B8D"/>
    <w:rsid w:val="00D03374"/>
    <w:rsid w:val="00D06F76"/>
    <w:rsid w:val="00D17EB6"/>
    <w:rsid w:val="00D32B89"/>
    <w:rsid w:val="00D42562"/>
    <w:rsid w:val="00D50373"/>
    <w:rsid w:val="00D50B61"/>
    <w:rsid w:val="00D540F6"/>
    <w:rsid w:val="00D54B3E"/>
    <w:rsid w:val="00D54B83"/>
    <w:rsid w:val="00D80A49"/>
    <w:rsid w:val="00D81AE1"/>
    <w:rsid w:val="00D90FA4"/>
    <w:rsid w:val="00D932A0"/>
    <w:rsid w:val="00D95B3D"/>
    <w:rsid w:val="00DA25AF"/>
    <w:rsid w:val="00DA2938"/>
    <w:rsid w:val="00DA5B43"/>
    <w:rsid w:val="00DA7EFD"/>
    <w:rsid w:val="00DB090B"/>
    <w:rsid w:val="00DB1817"/>
    <w:rsid w:val="00DB7E11"/>
    <w:rsid w:val="00DC060D"/>
    <w:rsid w:val="00DC076A"/>
    <w:rsid w:val="00DC1BF9"/>
    <w:rsid w:val="00DE53A8"/>
    <w:rsid w:val="00DF1653"/>
    <w:rsid w:val="00E011F6"/>
    <w:rsid w:val="00E07132"/>
    <w:rsid w:val="00E13273"/>
    <w:rsid w:val="00E41E01"/>
    <w:rsid w:val="00E449B9"/>
    <w:rsid w:val="00E45F2A"/>
    <w:rsid w:val="00E5745E"/>
    <w:rsid w:val="00E61810"/>
    <w:rsid w:val="00E62224"/>
    <w:rsid w:val="00E64988"/>
    <w:rsid w:val="00E670F0"/>
    <w:rsid w:val="00E722F5"/>
    <w:rsid w:val="00E82A8B"/>
    <w:rsid w:val="00E83C87"/>
    <w:rsid w:val="00E8558B"/>
    <w:rsid w:val="00E905A3"/>
    <w:rsid w:val="00E93FCC"/>
    <w:rsid w:val="00E950A5"/>
    <w:rsid w:val="00EA3A3B"/>
    <w:rsid w:val="00EB133D"/>
    <w:rsid w:val="00EB444D"/>
    <w:rsid w:val="00EB6F32"/>
    <w:rsid w:val="00EC2C5A"/>
    <w:rsid w:val="00ED2397"/>
    <w:rsid w:val="00ED5E99"/>
    <w:rsid w:val="00EE2A0C"/>
    <w:rsid w:val="00EF00DC"/>
    <w:rsid w:val="00EF753B"/>
    <w:rsid w:val="00F008B1"/>
    <w:rsid w:val="00F00FDC"/>
    <w:rsid w:val="00F02D84"/>
    <w:rsid w:val="00F21AB7"/>
    <w:rsid w:val="00F22A13"/>
    <w:rsid w:val="00F237CA"/>
    <w:rsid w:val="00F27DCB"/>
    <w:rsid w:val="00F37761"/>
    <w:rsid w:val="00F45AF5"/>
    <w:rsid w:val="00F54D7C"/>
    <w:rsid w:val="00F5648E"/>
    <w:rsid w:val="00F56AA9"/>
    <w:rsid w:val="00F614EB"/>
    <w:rsid w:val="00F61631"/>
    <w:rsid w:val="00F71491"/>
    <w:rsid w:val="00F826C1"/>
    <w:rsid w:val="00F8587E"/>
    <w:rsid w:val="00F86233"/>
    <w:rsid w:val="00FA2AA7"/>
    <w:rsid w:val="00FB3ED3"/>
    <w:rsid w:val="00FB4010"/>
    <w:rsid w:val="00FC30CA"/>
    <w:rsid w:val="00FD3E15"/>
    <w:rsid w:val="00FD53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71689"/>
    <w:pPr>
      <w:widowControl w:val="0"/>
      <w:overflowPunct w:val="0"/>
      <w:autoSpaceDE w:val="0"/>
      <w:autoSpaceDN w:val="0"/>
      <w:adjustRightInd w:val="0"/>
      <w:jc w:val="both"/>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71689"/>
    <w:pPr>
      <w:tabs>
        <w:tab w:val="center" w:pos="4536"/>
        <w:tab w:val="right" w:pos="9072"/>
      </w:tabs>
    </w:pPr>
  </w:style>
  <w:style w:type="paragraph" w:styleId="Zpat">
    <w:name w:val="footer"/>
    <w:basedOn w:val="Normln"/>
    <w:rsid w:val="00871689"/>
    <w:pPr>
      <w:tabs>
        <w:tab w:val="center" w:pos="4536"/>
        <w:tab w:val="right" w:pos="9072"/>
      </w:tabs>
    </w:pPr>
  </w:style>
  <w:style w:type="character" w:customStyle="1" w:styleId="ZhlavChar">
    <w:name w:val="Záhlaví Char"/>
    <w:basedOn w:val="Standardnpsmoodstavce"/>
    <w:link w:val="Zhlav"/>
    <w:rsid w:val="00871689"/>
    <w:rPr>
      <w:sz w:val="24"/>
      <w:lang w:val="cs-CZ" w:eastAsia="cs-CZ" w:bidi="ar-SA"/>
    </w:rPr>
  </w:style>
  <w:style w:type="paragraph" w:styleId="Zkladntext2">
    <w:name w:val="Body Text 2"/>
    <w:basedOn w:val="Normln"/>
    <w:rsid w:val="00DB7E11"/>
    <w:pPr>
      <w:spacing w:after="120" w:line="480" w:lineRule="auto"/>
    </w:pPr>
  </w:style>
  <w:style w:type="table" w:styleId="Mkatabulky">
    <w:name w:val="Table Grid"/>
    <w:basedOn w:val="Normlntabulka"/>
    <w:rsid w:val="004234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semiHidden/>
    <w:rsid w:val="007B1356"/>
    <w:rPr>
      <w:rFonts w:ascii="Tahoma" w:hAnsi="Tahoma" w:cs="Tahoma"/>
      <w:sz w:val="16"/>
      <w:szCs w:val="16"/>
    </w:rPr>
  </w:style>
  <w:style w:type="paragraph" w:styleId="Textpoznpodarou">
    <w:name w:val="footnote text"/>
    <w:basedOn w:val="Normln"/>
    <w:link w:val="TextpoznpodarouChar"/>
    <w:uiPriority w:val="99"/>
    <w:unhideWhenUsed/>
    <w:rsid w:val="005C74D3"/>
    <w:pPr>
      <w:widowControl/>
      <w:overflowPunct/>
      <w:autoSpaceDE/>
      <w:autoSpaceDN/>
      <w:adjustRightInd/>
      <w:jc w:val="left"/>
      <w:textAlignment w:val="auto"/>
    </w:pPr>
    <w:rPr>
      <w:sz w:val="20"/>
    </w:rPr>
  </w:style>
  <w:style w:type="character" w:customStyle="1" w:styleId="TextpoznpodarouChar">
    <w:name w:val="Text pozn. pod čarou Char"/>
    <w:basedOn w:val="Standardnpsmoodstavce"/>
    <w:link w:val="Textpoznpodarou"/>
    <w:uiPriority w:val="99"/>
    <w:rsid w:val="005C74D3"/>
  </w:style>
  <w:style w:type="character" w:styleId="Znakapoznpodarou">
    <w:name w:val="footnote reference"/>
    <w:basedOn w:val="Standardnpsmoodstavce"/>
    <w:uiPriority w:val="99"/>
    <w:unhideWhenUsed/>
    <w:rsid w:val="005C74D3"/>
    <w:rPr>
      <w:vertAlign w:val="superscript"/>
    </w:rPr>
  </w:style>
  <w:style w:type="paragraph" w:styleId="Odstavecseseznamem">
    <w:name w:val="List Paragraph"/>
    <w:basedOn w:val="Normln"/>
    <w:uiPriority w:val="34"/>
    <w:qFormat/>
    <w:rsid w:val="00D06F76"/>
    <w:pPr>
      <w:widowControl/>
      <w:overflowPunct/>
      <w:autoSpaceDE/>
      <w:autoSpaceDN/>
      <w:adjustRightInd/>
      <w:spacing w:after="200" w:line="276" w:lineRule="auto"/>
      <w:ind w:left="720"/>
      <w:jc w:val="left"/>
      <w:textAlignment w:val="auto"/>
    </w:pPr>
    <w:rPr>
      <w:rFonts w:ascii="Calibri" w:eastAsia="Calibri" w:hAnsi="Calibri" w:cs="Calibri"/>
      <w:sz w:val="22"/>
      <w:szCs w:val="22"/>
      <w:lang w:eastAsia="en-US"/>
    </w:rPr>
  </w:style>
  <w:style w:type="character" w:styleId="Hypertextovodkaz">
    <w:name w:val="Hyperlink"/>
    <w:basedOn w:val="Standardnpsmoodstavce"/>
    <w:uiPriority w:val="99"/>
    <w:unhideWhenUsed/>
    <w:rsid w:val="00D06F76"/>
    <w:rPr>
      <w:color w:val="0000FF"/>
      <w:u w:val="single"/>
    </w:rPr>
  </w:style>
  <w:style w:type="paragraph" w:styleId="Zkladntextodsazen">
    <w:name w:val="Body Text Indent"/>
    <w:basedOn w:val="Normln"/>
    <w:link w:val="ZkladntextodsazenChar"/>
    <w:uiPriority w:val="99"/>
    <w:unhideWhenUsed/>
    <w:rsid w:val="00D06F76"/>
    <w:pPr>
      <w:widowControl/>
      <w:overflowPunct/>
      <w:autoSpaceDE/>
      <w:autoSpaceDN/>
      <w:adjustRightInd/>
      <w:spacing w:before="120" w:after="120"/>
      <w:ind w:left="283"/>
      <w:textAlignment w:val="auto"/>
    </w:pPr>
    <w:rPr>
      <w:sz w:val="22"/>
      <w:szCs w:val="24"/>
    </w:rPr>
  </w:style>
  <w:style w:type="character" w:customStyle="1" w:styleId="ZkladntextodsazenChar">
    <w:name w:val="Základní text odsazený Char"/>
    <w:basedOn w:val="Standardnpsmoodstavce"/>
    <w:link w:val="Zkladntextodsazen"/>
    <w:uiPriority w:val="99"/>
    <w:rsid w:val="00D06F76"/>
    <w:rPr>
      <w:sz w:val="22"/>
      <w:szCs w:val="24"/>
    </w:rPr>
  </w:style>
  <w:style w:type="paragraph" w:styleId="Zkladntext">
    <w:name w:val="Body Text"/>
    <w:basedOn w:val="Normln"/>
    <w:link w:val="ZkladntextChar"/>
    <w:uiPriority w:val="99"/>
    <w:unhideWhenUsed/>
    <w:rsid w:val="00D06F76"/>
    <w:pPr>
      <w:widowControl/>
      <w:overflowPunct/>
      <w:autoSpaceDE/>
      <w:autoSpaceDN/>
      <w:adjustRightInd/>
      <w:spacing w:before="120" w:after="120"/>
      <w:textAlignment w:val="auto"/>
    </w:pPr>
    <w:rPr>
      <w:sz w:val="22"/>
      <w:szCs w:val="24"/>
    </w:rPr>
  </w:style>
  <w:style w:type="character" w:customStyle="1" w:styleId="ZkladntextChar">
    <w:name w:val="Základní text Char"/>
    <w:basedOn w:val="Standardnpsmoodstavce"/>
    <w:link w:val="Zkladntext"/>
    <w:uiPriority w:val="99"/>
    <w:rsid w:val="00D06F76"/>
    <w:rPr>
      <w:sz w:val="22"/>
      <w:szCs w:val="24"/>
    </w:rPr>
  </w:style>
  <w:style w:type="character" w:styleId="Odkaznakoment">
    <w:name w:val="annotation reference"/>
    <w:basedOn w:val="Standardnpsmoodstavce"/>
    <w:rsid w:val="006E378D"/>
    <w:rPr>
      <w:sz w:val="16"/>
      <w:szCs w:val="16"/>
    </w:rPr>
  </w:style>
  <w:style w:type="paragraph" w:styleId="Textkomente">
    <w:name w:val="annotation text"/>
    <w:basedOn w:val="Normln"/>
    <w:link w:val="TextkomenteChar"/>
    <w:rsid w:val="006E378D"/>
    <w:rPr>
      <w:sz w:val="20"/>
    </w:rPr>
  </w:style>
  <w:style w:type="character" w:customStyle="1" w:styleId="TextkomenteChar">
    <w:name w:val="Text komentáře Char"/>
    <w:basedOn w:val="Standardnpsmoodstavce"/>
    <w:link w:val="Textkomente"/>
    <w:rsid w:val="006E378D"/>
  </w:style>
  <w:style w:type="paragraph" w:styleId="Pedmtkomente">
    <w:name w:val="annotation subject"/>
    <w:basedOn w:val="Textkomente"/>
    <w:next w:val="Textkomente"/>
    <w:link w:val="PedmtkomenteChar"/>
    <w:rsid w:val="006E378D"/>
    <w:rPr>
      <w:b/>
      <w:bCs/>
    </w:rPr>
  </w:style>
  <w:style w:type="character" w:customStyle="1" w:styleId="PedmtkomenteChar">
    <w:name w:val="Předmět komentáře Char"/>
    <w:basedOn w:val="TextkomenteChar"/>
    <w:link w:val="Pedmtkomente"/>
    <w:rsid w:val="006E378D"/>
    <w:rPr>
      <w:b/>
      <w:bCs/>
    </w:rPr>
  </w:style>
  <w:style w:type="paragraph" w:styleId="Revize">
    <w:name w:val="Revision"/>
    <w:hidden/>
    <w:uiPriority w:val="99"/>
    <w:semiHidden/>
    <w:rsid w:val="006E378D"/>
    <w:rPr>
      <w:sz w:val="24"/>
    </w:rPr>
  </w:style>
  <w:style w:type="paragraph" w:customStyle="1" w:styleId="Default">
    <w:name w:val="Default"/>
    <w:rsid w:val="00C74A0A"/>
    <w:pPr>
      <w:autoSpaceDE w:val="0"/>
      <w:autoSpaceDN w:val="0"/>
      <w:adjustRightInd w:val="0"/>
    </w:pPr>
    <w:rPr>
      <w:rFonts w:ascii="Calibri" w:eastAsia="Calibri" w:hAnsi="Calibri" w:cs="Calibri"/>
      <w:color w:val="000000"/>
      <w:sz w:val="24"/>
      <w:szCs w:val="24"/>
      <w:lang w:eastAsia="en-US"/>
    </w:rPr>
  </w:style>
  <w:style w:type="character" w:styleId="Siln">
    <w:name w:val="Strong"/>
    <w:basedOn w:val="Standardnpsmoodstavce"/>
    <w:uiPriority w:val="22"/>
    <w:qFormat/>
    <w:rsid w:val="0062124A"/>
    <w:rPr>
      <w:b/>
      <w:bCs/>
    </w:rPr>
  </w:style>
  <w:style w:type="character" w:styleId="Sledovanodkaz">
    <w:name w:val="FollowedHyperlink"/>
    <w:basedOn w:val="Standardnpsmoodstavce"/>
    <w:rsid w:val="00286D5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71689"/>
    <w:pPr>
      <w:widowControl w:val="0"/>
      <w:overflowPunct w:val="0"/>
      <w:autoSpaceDE w:val="0"/>
      <w:autoSpaceDN w:val="0"/>
      <w:adjustRightInd w:val="0"/>
      <w:jc w:val="both"/>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71689"/>
    <w:pPr>
      <w:tabs>
        <w:tab w:val="center" w:pos="4536"/>
        <w:tab w:val="right" w:pos="9072"/>
      </w:tabs>
    </w:pPr>
  </w:style>
  <w:style w:type="paragraph" w:styleId="Zpat">
    <w:name w:val="footer"/>
    <w:basedOn w:val="Normln"/>
    <w:rsid w:val="00871689"/>
    <w:pPr>
      <w:tabs>
        <w:tab w:val="center" w:pos="4536"/>
        <w:tab w:val="right" w:pos="9072"/>
      </w:tabs>
    </w:pPr>
  </w:style>
  <w:style w:type="character" w:customStyle="1" w:styleId="ZhlavChar">
    <w:name w:val="Záhlaví Char"/>
    <w:basedOn w:val="Standardnpsmoodstavce"/>
    <w:link w:val="Zhlav"/>
    <w:rsid w:val="00871689"/>
    <w:rPr>
      <w:sz w:val="24"/>
      <w:lang w:val="cs-CZ" w:eastAsia="cs-CZ" w:bidi="ar-SA"/>
    </w:rPr>
  </w:style>
  <w:style w:type="paragraph" w:styleId="Zkladntext2">
    <w:name w:val="Body Text 2"/>
    <w:basedOn w:val="Normln"/>
    <w:rsid w:val="00DB7E11"/>
    <w:pPr>
      <w:spacing w:after="120" w:line="480" w:lineRule="auto"/>
    </w:pPr>
  </w:style>
  <w:style w:type="table" w:styleId="Mkatabulky">
    <w:name w:val="Table Grid"/>
    <w:basedOn w:val="Normlntabulka"/>
    <w:rsid w:val="004234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semiHidden/>
    <w:rsid w:val="007B1356"/>
    <w:rPr>
      <w:rFonts w:ascii="Tahoma" w:hAnsi="Tahoma" w:cs="Tahoma"/>
      <w:sz w:val="16"/>
      <w:szCs w:val="16"/>
    </w:rPr>
  </w:style>
  <w:style w:type="paragraph" w:styleId="Textpoznpodarou">
    <w:name w:val="footnote text"/>
    <w:basedOn w:val="Normln"/>
    <w:link w:val="TextpoznpodarouChar"/>
    <w:uiPriority w:val="99"/>
    <w:unhideWhenUsed/>
    <w:rsid w:val="005C74D3"/>
    <w:pPr>
      <w:widowControl/>
      <w:overflowPunct/>
      <w:autoSpaceDE/>
      <w:autoSpaceDN/>
      <w:adjustRightInd/>
      <w:jc w:val="left"/>
      <w:textAlignment w:val="auto"/>
    </w:pPr>
    <w:rPr>
      <w:sz w:val="20"/>
    </w:rPr>
  </w:style>
  <w:style w:type="character" w:customStyle="1" w:styleId="TextpoznpodarouChar">
    <w:name w:val="Text pozn. pod čarou Char"/>
    <w:basedOn w:val="Standardnpsmoodstavce"/>
    <w:link w:val="Textpoznpodarou"/>
    <w:uiPriority w:val="99"/>
    <w:rsid w:val="005C74D3"/>
  </w:style>
  <w:style w:type="character" w:styleId="Znakapoznpodarou">
    <w:name w:val="footnote reference"/>
    <w:basedOn w:val="Standardnpsmoodstavce"/>
    <w:uiPriority w:val="99"/>
    <w:unhideWhenUsed/>
    <w:rsid w:val="005C74D3"/>
    <w:rPr>
      <w:vertAlign w:val="superscript"/>
    </w:rPr>
  </w:style>
  <w:style w:type="paragraph" w:styleId="Odstavecseseznamem">
    <w:name w:val="List Paragraph"/>
    <w:basedOn w:val="Normln"/>
    <w:uiPriority w:val="34"/>
    <w:qFormat/>
    <w:rsid w:val="00D06F76"/>
    <w:pPr>
      <w:widowControl/>
      <w:overflowPunct/>
      <w:autoSpaceDE/>
      <w:autoSpaceDN/>
      <w:adjustRightInd/>
      <w:spacing w:after="200" w:line="276" w:lineRule="auto"/>
      <w:ind w:left="720"/>
      <w:jc w:val="left"/>
      <w:textAlignment w:val="auto"/>
    </w:pPr>
    <w:rPr>
      <w:rFonts w:ascii="Calibri" w:eastAsia="Calibri" w:hAnsi="Calibri" w:cs="Calibri"/>
      <w:sz w:val="22"/>
      <w:szCs w:val="22"/>
      <w:lang w:eastAsia="en-US"/>
    </w:rPr>
  </w:style>
  <w:style w:type="character" w:styleId="Hypertextovodkaz">
    <w:name w:val="Hyperlink"/>
    <w:basedOn w:val="Standardnpsmoodstavce"/>
    <w:uiPriority w:val="99"/>
    <w:unhideWhenUsed/>
    <w:rsid w:val="00D06F76"/>
    <w:rPr>
      <w:color w:val="0000FF"/>
      <w:u w:val="single"/>
    </w:rPr>
  </w:style>
  <w:style w:type="paragraph" w:styleId="Zkladntextodsazen">
    <w:name w:val="Body Text Indent"/>
    <w:basedOn w:val="Normln"/>
    <w:link w:val="ZkladntextodsazenChar"/>
    <w:uiPriority w:val="99"/>
    <w:unhideWhenUsed/>
    <w:rsid w:val="00D06F76"/>
    <w:pPr>
      <w:widowControl/>
      <w:overflowPunct/>
      <w:autoSpaceDE/>
      <w:autoSpaceDN/>
      <w:adjustRightInd/>
      <w:spacing w:before="120" w:after="120"/>
      <w:ind w:left="283"/>
      <w:textAlignment w:val="auto"/>
    </w:pPr>
    <w:rPr>
      <w:sz w:val="22"/>
      <w:szCs w:val="24"/>
    </w:rPr>
  </w:style>
  <w:style w:type="character" w:customStyle="1" w:styleId="ZkladntextodsazenChar">
    <w:name w:val="Základní text odsazený Char"/>
    <w:basedOn w:val="Standardnpsmoodstavce"/>
    <w:link w:val="Zkladntextodsazen"/>
    <w:uiPriority w:val="99"/>
    <w:rsid w:val="00D06F76"/>
    <w:rPr>
      <w:sz w:val="22"/>
      <w:szCs w:val="24"/>
    </w:rPr>
  </w:style>
  <w:style w:type="paragraph" w:styleId="Zkladntext">
    <w:name w:val="Body Text"/>
    <w:basedOn w:val="Normln"/>
    <w:link w:val="ZkladntextChar"/>
    <w:uiPriority w:val="99"/>
    <w:unhideWhenUsed/>
    <w:rsid w:val="00D06F76"/>
    <w:pPr>
      <w:widowControl/>
      <w:overflowPunct/>
      <w:autoSpaceDE/>
      <w:autoSpaceDN/>
      <w:adjustRightInd/>
      <w:spacing w:before="120" w:after="120"/>
      <w:textAlignment w:val="auto"/>
    </w:pPr>
    <w:rPr>
      <w:sz w:val="22"/>
      <w:szCs w:val="24"/>
    </w:rPr>
  </w:style>
  <w:style w:type="character" w:customStyle="1" w:styleId="ZkladntextChar">
    <w:name w:val="Základní text Char"/>
    <w:basedOn w:val="Standardnpsmoodstavce"/>
    <w:link w:val="Zkladntext"/>
    <w:uiPriority w:val="99"/>
    <w:rsid w:val="00D06F76"/>
    <w:rPr>
      <w:sz w:val="22"/>
      <w:szCs w:val="24"/>
    </w:rPr>
  </w:style>
  <w:style w:type="character" w:styleId="Odkaznakoment">
    <w:name w:val="annotation reference"/>
    <w:basedOn w:val="Standardnpsmoodstavce"/>
    <w:rsid w:val="006E378D"/>
    <w:rPr>
      <w:sz w:val="16"/>
      <w:szCs w:val="16"/>
    </w:rPr>
  </w:style>
  <w:style w:type="paragraph" w:styleId="Textkomente">
    <w:name w:val="annotation text"/>
    <w:basedOn w:val="Normln"/>
    <w:link w:val="TextkomenteChar"/>
    <w:rsid w:val="006E378D"/>
    <w:rPr>
      <w:sz w:val="20"/>
    </w:rPr>
  </w:style>
  <w:style w:type="character" w:customStyle="1" w:styleId="TextkomenteChar">
    <w:name w:val="Text komentáře Char"/>
    <w:basedOn w:val="Standardnpsmoodstavce"/>
    <w:link w:val="Textkomente"/>
    <w:rsid w:val="006E378D"/>
  </w:style>
  <w:style w:type="paragraph" w:styleId="Pedmtkomente">
    <w:name w:val="annotation subject"/>
    <w:basedOn w:val="Textkomente"/>
    <w:next w:val="Textkomente"/>
    <w:link w:val="PedmtkomenteChar"/>
    <w:rsid w:val="006E378D"/>
    <w:rPr>
      <w:b/>
      <w:bCs/>
    </w:rPr>
  </w:style>
  <w:style w:type="character" w:customStyle="1" w:styleId="PedmtkomenteChar">
    <w:name w:val="Předmět komentáře Char"/>
    <w:basedOn w:val="TextkomenteChar"/>
    <w:link w:val="Pedmtkomente"/>
    <w:rsid w:val="006E378D"/>
    <w:rPr>
      <w:b/>
      <w:bCs/>
    </w:rPr>
  </w:style>
  <w:style w:type="paragraph" w:styleId="Revize">
    <w:name w:val="Revision"/>
    <w:hidden/>
    <w:uiPriority w:val="99"/>
    <w:semiHidden/>
    <w:rsid w:val="006E378D"/>
    <w:rPr>
      <w:sz w:val="24"/>
    </w:rPr>
  </w:style>
  <w:style w:type="paragraph" w:customStyle="1" w:styleId="Default">
    <w:name w:val="Default"/>
    <w:rsid w:val="00C74A0A"/>
    <w:pPr>
      <w:autoSpaceDE w:val="0"/>
      <w:autoSpaceDN w:val="0"/>
      <w:adjustRightInd w:val="0"/>
    </w:pPr>
    <w:rPr>
      <w:rFonts w:ascii="Calibri" w:eastAsia="Calibri" w:hAnsi="Calibri" w:cs="Calibri"/>
      <w:color w:val="000000"/>
      <w:sz w:val="24"/>
      <w:szCs w:val="24"/>
      <w:lang w:eastAsia="en-US"/>
    </w:rPr>
  </w:style>
  <w:style w:type="character" w:styleId="Siln">
    <w:name w:val="Strong"/>
    <w:basedOn w:val="Standardnpsmoodstavce"/>
    <w:uiPriority w:val="22"/>
    <w:qFormat/>
    <w:rsid w:val="0062124A"/>
    <w:rPr>
      <w:b/>
      <w:bCs/>
    </w:rPr>
  </w:style>
  <w:style w:type="character" w:styleId="Sledovanodkaz">
    <w:name w:val="FollowedHyperlink"/>
    <w:basedOn w:val="Standardnpsmoodstavce"/>
    <w:rsid w:val="00286D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370771">
      <w:bodyDiv w:val="1"/>
      <w:marLeft w:val="0"/>
      <w:marRight w:val="0"/>
      <w:marTop w:val="0"/>
      <w:marBottom w:val="0"/>
      <w:divBdr>
        <w:top w:val="none" w:sz="0" w:space="0" w:color="auto"/>
        <w:left w:val="none" w:sz="0" w:space="0" w:color="auto"/>
        <w:bottom w:val="none" w:sz="0" w:space="0" w:color="auto"/>
        <w:right w:val="none" w:sz="0" w:space="0" w:color="auto"/>
      </w:divBdr>
    </w:div>
    <w:div w:id="19202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Dokumenty\MND%20GS\Aukce%202012%20na%20105%20mil.m3\V&#253;konov&#233;%20k&#345;ivky%20PZP%20Uh&#345;ice%20-%20105%20mil.m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900" b="1" i="0" u="none" strike="noStrike" baseline="0">
                <a:solidFill>
                  <a:srgbClr val="000000"/>
                </a:solidFill>
                <a:latin typeface="Calibri"/>
                <a:ea typeface="Calibri"/>
                <a:cs typeface="Calibri"/>
              </a:defRPr>
            </a:pPr>
            <a:r>
              <a:rPr lang="cs-CZ" sz="900"/>
              <a:t>Těžební křivka MND Gas Storage a.s.
Dostupný výkon v závislosti na stavu účtu ukladatele</a:t>
            </a:r>
          </a:p>
        </c:rich>
      </c:tx>
      <c:layout>
        <c:manualLayout>
          <c:xMode val="edge"/>
          <c:yMode val="edge"/>
          <c:x val="0.35387489998101318"/>
          <c:y val="1.2694026868082142E-2"/>
        </c:manualLayout>
      </c:layout>
      <c:overlay val="0"/>
      <c:spPr>
        <a:noFill/>
        <a:ln w="25400">
          <a:noFill/>
        </a:ln>
      </c:spPr>
    </c:title>
    <c:autoTitleDeleted val="0"/>
    <c:plotArea>
      <c:layout>
        <c:manualLayout>
          <c:layoutTarget val="inner"/>
          <c:xMode val="edge"/>
          <c:yMode val="edge"/>
          <c:x val="8.5985212214326867E-2"/>
          <c:y val="9.8730606488011366E-2"/>
          <c:w val="0.89779164031088909"/>
          <c:h val="0.78843441466854891"/>
        </c:manualLayout>
      </c:layout>
      <c:scatterChart>
        <c:scatterStyle val="lineMarker"/>
        <c:varyColors val="0"/>
        <c:ser>
          <c:idx val="0"/>
          <c:order val="0"/>
          <c:tx>
            <c:v>Withdrawal Profile</c:v>
          </c:tx>
          <c:spPr>
            <a:ln w="38100">
              <a:solidFill>
                <a:srgbClr val="00B050"/>
              </a:solidFill>
              <a:prstDash val="solid"/>
            </a:ln>
          </c:spPr>
          <c:marker>
            <c:symbol val="circle"/>
            <c:size val="5"/>
            <c:spPr>
              <a:solidFill>
                <a:srgbClr val="FFFFFF"/>
              </a:solidFill>
              <a:ln>
                <a:solidFill>
                  <a:srgbClr val="339966"/>
                </a:solidFill>
                <a:prstDash val="solid"/>
              </a:ln>
            </c:spPr>
          </c:marker>
          <c:xVal>
            <c:numRef>
              <c:f>'D:\Dokumenty\MND GS\Aukce 2012 na 105 mil.m3\[Výkonové křivky PZP Uhřice - 105 mil.m3.xlsx]List2'!$B$3:$B$5</c:f>
              <c:numCache>
                <c:formatCode>General</c:formatCode>
                <c:ptCount val="3"/>
                <c:pt idx="0">
                  <c:v>100</c:v>
                </c:pt>
                <c:pt idx="1">
                  <c:v>38.333333330000066</c:v>
                </c:pt>
                <c:pt idx="2">
                  <c:v>0</c:v>
                </c:pt>
              </c:numCache>
            </c:numRef>
          </c:xVal>
          <c:yVal>
            <c:numRef>
              <c:f>'D:\Dokumenty\MND GS\Aukce 2012 na 105 mil.m3\[Výkonové křivky PZP Uhřice - 105 mil.m3.xlsx]List2'!$C$3:$C$5</c:f>
              <c:numCache>
                <c:formatCode>General</c:formatCode>
                <c:ptCount val="3"/>
                <c:pt idx="0">
                  <c:v>100</c:v>
                </c:pt>
                <c:pt idx="1">
                  <c:v>100</c:v>
                </c:pt>
                <c:pt idx="2">
                  <c:v>22.22</c:v>
                </c:pt>
              </c:numCache>
            </c:numRef>
          </c:yVal>
          <c:smooth val="0"/>
        </c:ser>
        <c:ser>
          <c:idx val="1"/>
          <c:order val="1"/>
          <c:spPr>
            <a:ln w="28575">
              <a:noFill/>
            </a:ln>
          </c:spPr>
          <c:marker>
            <c:symbol val="none"/>
          </c:marker>
          <c:xVal>
            <c:numRef>
              <c:f>'D:\Dokumenty\MND GS\Aukce 2012 na 105 mil.m3\[Výkonové křivky PZP Uhřice - 105 mil.m3.xlsx]List2'!$B$4:$B$5</c:f>
              <c:numCache>
                <c:formatCode>General</c:formatCode>
                <c:ptCount val="2"/>
                <c:pt idx="0">
                  <c:v>38.333333330000066</c:v>
                </c:pt>
                <c:pt idx="1">
                  <c:v>0</c:v>
                </c:pt>
              </c:numCache>
            </c:numRef>
          </c:xVal>
          <c:yVal>
            <c:numRef>
              <c:f>'D:\Dokumenty\MND GS\Aukce 2012 na 105 mil.m3\[Výkonové křivky PZP Uhřice - 105 mil.m3.xlsx]List2'!$C$4:$C$5</c:f>
              <c:numCache>
                <c:formatCode>General</c:formatCode>
                <c:ptCount val="2"/>
                <c:pt idx="0">
                  <c:v>100</c:v>
                </c:pt>
                <c:pt idx="1">
                  <c:v>22.22</c:v>
                </c:pt>
              </c:numCache>
            </c:numRef>
          </c:yVal>
          <c:smooth val="0"/>
        </c:ser>
        <c:dLbls>
          <c:showLegendKey val="0"/>
          <c:showVal val="0"/>
          <c:showCatName val="0"/>
          <c:showSerName val="0"/>
          <c:showPercent val="0"/>
          <c:showBubbleSize val="0"/>
        </c:dLbls>
        <c:axId val="64029824"/>
        <c:axId val="64031360"/>
      </c:scatterChart>
      <c:valAx>
        <c:axId val="64029824"/>
        <c:scaling>
          <c:orientation val="maxMin"/>
          <c:max val="100"/>
        </c:scaling>
        <c:delete val="0"/>
        <c:axPos val="b"/>
        <c:majorGridlines>
          <c:spPr>
            <a:ln w="3175">
              <a:solidFill>
                <a:srgbClr val="808080"/>
              </a:solidFill>
              <a:prstDash val="sysDash"/>
            </a:ln>
          </c:spPr>
        </c:majorGridlines>
        <c:title>
          <c:tx>
            <c:rich>
              <a:bodyPr/>
              <a:lstStyle/>
              <a:p>
                <a:pPr>
                  <a:defRPr sz="1200" b="1" i="0" u="none" strike="noStrike" baseline="0">
                    <a:solidFill>
                      <a:srgbClr val="000000"/>
                    </a:solidFill>
                    <a:latin typeface="Calibri"/>
                    <a:ea typeface="Calibri"/>
                    <a:cs typeface="Calibri"/>
                  </a:defRPr>
                </a:pPr>
                <a:r>
                  <a:rPr lang="cs-CZ" sz="800"/>
                  <a:t>Stav účtu ukladatele (%)</a:t>
                </a:r>
              </a:p>
            </c:rich>
          </c:tx>
          <c:layout>
            <c:manualLayout>
              <c:xMode val="edge"/>
              <c:yMode val="edge"/>
              <c:x val="0.382660715644633"/>
              <c:y val="0.92994355582019461"/>
            </c:manualLayout>
          </c:layout>
          <c:overlay val="0"/>
          <c:spPr>
            <a:noFill/>
            <a:ln w="25400">
              <a:noFill/>
            </a:ln>
          </c:spPr>
        </c:title>
        <c:numFmt formatCode="0" sourceLinked="0"/>
        <c:majorTickMark val="out"/>
        <c:minorTickMark val="in"/>
        <c:tickLblPos val="nextTo"/>
        <c:spPr>
          <a:ln w="3175">
            <a:solidFill>
              <a:srgbClr val="000000"/>
            </a:solidFill>
            <a:prstDash val="solid"/>
          </a:ln>
        </c:spPr>
        <c:txPr>
          <a:bodyPr rot="0" vert="horz"/>
          <a:lstStyle/>
          <a:p>
            <a:pPr>
              <a:defRPr sz="1000" b="0" i="0" u="none" strike="noStrike" baseline="0">
                <a:solidFill>
                  <a:srgbClr val="000000"/>
                </a:solidFill>
                <a:latin typeface="Arial CE"/>
                <a:ea typeface="Arial CE"/>
                <a:cs typeface="Arial CE"/>
              </a:defRPr>
            </a:pPr>
            <a:endParaRPr lang="sk-SK"/>
          </a:p>
        </c:txPr>
        <c:crossAx val="64031360"/>
        <c:crosses val="autoZero"/>
        <c:crossBetween val="midCat"/>
        <c:majorUnit val="10"/>
        <c:minorUnit val="1"/>
      </c:valAx>
      <c:valAx>
        <c:axId val="64031360"/>
        <c:scaling>
          <c:orientation val="minMax"/>
          <c:max val="109"/>
          <c:min val="0"/>
        </c:scaling>
        <c:delete val="0"/>
        <c:axPos val="l"/>
        <c:majorGridlines>
          <c:spPr>
            <a:ln w="3175">
              <a:solidFill>
                <a:srgbClr val="969696"/>
              </a:solidFill>
              <a:prstDash val="sysDash"/>
            </a:ln>
          </c:spPr>
        </c:majorGridlines>
        <c:title>
          <c:tx>
            <c:rich>
              <a:bodyPr/>
              <a:lstStyle/>
              <a:p>
                <a:pPr>
                  <a:defRPr sz="800" b="1" i="0" u="none" strike="noStrike" baseline="0">
                    <a:solidFill>
                      <a:srgbClr val="000000"/>
                    </a:solidFill>
                    <a:latin typeface="Calibri"/>
                    <a:ea typeface="Calibri"/>
                    <a:cs typeface="Calibri"/>
                  </a:defRPr>
                </a:pPr>
                <a:r>
                  <a:rPr lang="cs-CZ" sz="800"/>
                  <a:t>Maximální těžební výkon  (%)</a:t>
                </a:r>
              </a:p>
            </c:rich>
          </c:tx>
          <c:layout>
            <c:manualLayout>
              <c:xMode val="edge"/>
              <c:yMode val="edge"/>
              <c:x val="0"/>
              <c:y val="0.30324390900415182"/>
            </c:manualLayout>
          </c:layout>
          <c:overlay val="0"/>
          <c:spPr>
            <a:noFill/>
            <a:ln w="25400">
              <a:noFill/>
            </a:ln>
          </c:spPr>
        </c:title>
        <c:numFmt formatCode="0_ ;[Red]\-0\ " sourceLinked="0"/>
        <c:majorTickMark val="out"/>
        <c:minorTickMark val="in"/>
        <c:tickLblPos val="nextTo"/>
        <c:spPr>
          <a:ln w="3175">
            <a:solidFill>
              <a:srgbClr val="000000"/>
            </a:solidFill>
            <a:prstDash val="solid"/>
          </a:ln>
        </c:spPr>
        <c:txPr>
          <a:bodyPr rot="0" vert="horz"/>
          <a:lstStyle/>
          <a:p>
            <a:pPr>
              <a:defRPr sz="1000" b="0" i="0" u="none" strike="noStrike" baseline="0">
                <a:solidFill>
                  <a:srgbClr val="000000"/>
                </a:solidFill>
                <a:latin typeface="Arial CE"/>
                <a:ea typeface="Arial CE"/>
                <a:cs typeface="Arial CE"/>
              </a:defRPr>
            </a:pPr>
            <a:endParaRPr lang="sk-SK"/>
          </a:p>
        </c:txPr>
        <c:crossAx val="64029824"/>
        <c:crosses val="max"/>
        <c:crossBetween val="midCat"/>
        <c:majorUnit val="10"/>
      </c:valAx>
      <c:spPr>
        <a:noFill/>
        <a:ln w="3175">
          <a:solidFill>
            <a:srgbClr val="000000"/>
          </a:solidFill>
          <a:prstDash val="solid"/>
        </a:ln>
      </c:spPr>
    </c:plotArea>
    <c:plotVisOnly val="1"/>
    <c:dispBlanksAs val="gap"/>
    <c:showDLblsOverMax val="0"/>
  </c:chart>
  <c:spPr>
    <a:noFill/>
    <a:ln w="3175">
      <a:solidFill>
        <a:srgbClr val="000000"/>
      </a:solidFill>
      <a:prstDash val="solid"/>
    </a:ln>
  </c:spPr>
  <c:txPr>
    <a:bodyPr/>
    <a:lstStyle/>
    <a:p>
      <a:pPr>
        <a:defRPr sz="1000" b="0" i="1" u="none" strike="noStrike" baseline="0">
          <a:solidFill>
            <a:srgbClr val="000000"/>
          </a:solidFill>
          <a:latin typeface="Arial CE"/>
          <a:ea typeface="Arial CE"/>
          <a:cs typeface="Arial CE"/>
        </a:defRPr>
      </a:pPr>
      <a:endParaRPr lang="sk-SK"/>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000" b="1" i="0" u="none" strike="noStrike" baseline="0">
                <a:solidFill>
                  <a:srgbClr val="000000"/>
                </a:solidFill>
                <a:latin typeface="Calibri"/>
                <a:ea typeface="Calibri"/>
                <a:cs typeface="Calibri"/>
              </a:defRPr>
            </a:pPr>
            <a:r>
              <a:rPr lang="cs-CZ" sz="1000"/>
              <a:t>Vtláčecí výkonová křivka MND Gas Storage a.s.
Dostupný výkon v závislosti na objemu plynu v zásobníku</a:t>
            </a:r>
          </a:p>
        </c:rich>
      </c:tx>
      <c:layout>
        <c:manualLayout>
          <c:xMode val="edge"/>
          <c:yMode val="edge"/>
          <c:x val="0.26625765044848299"/>
          <c:y val="5.0316030231614449E-3"/>
        </c:manualLayout>
      </c:layout>
      <c:overlay val="0"/>
      <c:spPr>
        <a:noFill/>
        <a:ln w="25400">
          <a:noFill/>
        </a:ln>
      </c:spPr>
    </c:title>
    <c:autoTitleDeleted val="0"/>
    <c:plotArea>
      <c:layout>
        <c:manualLayout>
          <c:layoutTarget val="inner"/>
          <c:xMode val="edge"/>
          <c:yMode val="edge"/>
          <c:x val="8.4887728666746029E-2"/>
          <c:y val="8.7323943661971812E-2"/>
          <c:w val="0.88990957102022161"/>
          <c:h val="0.81408450704225199"/>
        </c:manualLayout>
      </c:layout>
      <c:scatterChart>
        <c:scatterStyle val="lineMarker"/>
        <c:varyColors val="0"/>
        <c:ser>
          <c:idx val="0"/>
          <c:order val="0"/>
          <c:spPr>
            <a:ln w="38100">
              <a:solidFill>
                <a:srgbClr val="00B050"/>
              </a:solidFill>
              <a:prstDash val="solid"/>
            </a:ln>
          </c:spPr>
          <c:marker>
            <c:symbol val="circle"/>
            <c:size val="6"/>
            <c:spPr>
              <a:solidFill>
                <a:srgbClr val="FFFFFF"/>
              </a:solidFill>
              <a:ln>
                <a:solidFill>
                  <a:srgbClr val="339966"/>
                </a:solidFill>
                <a:prstDash val="solid"/>
              </a:ln>
            </c:spPr>
          </c:marker>
          <c:xVal>
            <c:numRef>
              <c:f>'[Výkonové křivky PZP Uhřice - 105 mil.m3.xlsx]List2'!$E$3:$E$6</c:f>
              <c:numCache>
                <c:formatCode>0</c:formatCode>
                <c:ptCount val="4"/>
                <c:pt idx="0">
                  <c:v>100</c:v>
                </c:pt>
                <c:pt idx="1">
                  <c:v>70</c:v>
                </c:pt>
                <c:pt idx="2">
                  <c:v>70</c:v>
                </c:pt>
                <c:pt idx="3">
                  <c:v>0</c:v>
                </c:pt>
              </c:numCache>
            </c:numRef>
          </c:xVal>
          <c:yVal>
            <c:numRef>
              <c:f>'[Výkonové křivky PZP Uhřice - 105 mil.m3.xlsx]List2'!$F$3:$F$6</c:f>
              <c:numCache>
                <c:formatCode>0</c:formatCode>
                <c:ptCount val="4"/>
                <c:pt idx="0">
                  <c:v>50</c:v>
                </c:pt>
                <c:pt idx="1">
                  <c:v>50</c:v>
                </c:pt>
                <c:pt idx="2">
                  <c:v>100</c:v>
                </c:pt>
                <c:pt idx="3">
                  <c:v>100</c:v>
                </c:pt>
              </c:numCache>
            </c:numRef>
          </c:yVal>
          <c:smooth val="0"/>
        </c:ser>
        <c:dLbls>
          <c:showLegendKey val="0"/>
          <c:showVal val="0"/>
          <c:showCatName val="0"/>
          <c:showSerName val="0"/>
          <c:showPercent val="0"/>
          <c:showBubbleSize val="0"/>
        </c:dLbls>
        <c:axId val="65929600"/>
        <c:axId val="65931904"/>
      </c:scatterChart>
      <c:valAx>
        <c:axId val="65929600"/>
        <c:scaling>
          <c:orientation val="maxMin"/>
          <c:max val="100"/>
        </c:scaling>
        <c:delete val="0"/>
        <c:axPos val="b"/>
        <c:majorGridlines>
          <c:spPr>
            <a:ln w="3175">
              <a:solidFill>
                <a:srgbClr val="808080"/>
              </a:solidFill>
              <a:prstDash val="sysDash"/>
            </a:ln>
          </c:spPr>
        </c:majorGridlines>
        <c:title>
          <c:tx>
            <c:rich>
              <a:bodyPr/>
              <a:lstStyle/>
              <a:p>
                <a:pPr>
                  <a:defRPr sz="1100" b="1" i="0" u="none" strike="noStrike" baseline="0">
                    <a:solidFill>
                      <a:srgbClr val="000000"/>
                    </a:solidFill>
                    <a:latin typeface="Calibri"/>
                    <a:ea typeface="Calibri"/>
                    <a:cs typeface="Calibri"/>
                  </a:defRPr>
                </a:pPr>
                <a:r>
                  <a:rPr lang="cs-CZ"/>
                  <a:t>Objem plynu v zásobníku  (%)</a:t>
                </a:r>
              </a:p>
            </c:rich>
          </c:tx>
          <c:layout>
            <c:manualLayout>
              <c:xMode val="edge"/>
              <c:yMode val="edge"/>
              <c:x val="0.42577030812325017"/>
              <c:y val="0.95070422535211263"/>
            </c:manualLayout>
          </c:layout>
          <c:overlay val="0"/>
          <c:spPr>
            <a:noFill/>
            <a:ln w="25400">
              <a:noFill/>
            </a:ln>
          </c:spPr>
        </c:title>
        <c:numFmt formatCode="0" sourceLinked="0"/>
        <c:majorTickMark val="out"/>
        <c:minorTickMark val="in"/>
        <c:tickLblPos val="nextTo"/>
        <c:spPr>
          <a:ln w="3175">
            <a:solidFill>
              <a:srgbClr val="000000"/>
            </a:solidFill>
            <a:prstDash val="solid"/>
          </a:ln>
        </c:spPr>
        <c:txPr>
          <a:bodyPr rot="0" vert="horz"/>
          <a:lstStyle/>
          <a:p>
            <a:pPr>
              <a:defRPr sz="1000" b="0" i="0" u="none" strike="noStrike" baseline="0">
                <a:solidFill>
                  <a:srgbClr val="000000"/>
                </a:solidFill>
                <a:latin typeface="Arial CE"/>
                <a:ea typeface="Arial CE"/>
                <a:cs typeface="Arial CE"/>
              </a:defRPr>
            </a:pPr>
            <a:endParaRPr lang="sk-SK"/>
          </a:p>
        </c:txPr>
        <c:crossAx val="65931904"/>
        <c:crosses val="autoZero"/>
        <c:crossBetween val="midCat"/>
        <c:majorUnit val="10"/>
        <c:minorUnit val="1"/>
      </c:valAx>
      <c:valAx>
        <c:axId val="65931904"/>
        <c:scaling>
          <c:orientation val="minMax"/>
          <c:max val="109"/>
          <c:min val="0"/>
        </c:scaling>
        <c:delete val="0"/>
        <c:axPos val="l"/>
        <c:majorGridlines>
          <c:spPr>
            <a:ln w="3175">
              <a:solidFill>
                <a:srgbClr val="969696"/>
              </a:solidFill>
              <a:prstDash val="sysDash"/>
            </a:ln>
          </c:spPr>
        </c:majorGridlines>
        <c:title>
          <c:tx>
            <c:rich>
              <a:bodyPr/>
              <a:lstStyle/>
              <a:p>
                <a:pPr>
                  <a:defRPr sz="900" b="1" i="0" u="none" strike="noStrike" baseline="0">
                    <a:solidFill>
                      <a:srgbClr val="000000"/>
                    </a:solidFill>
                    <a:latin typeface="Calibri"/>
                    <a:ea typeface="Calibri"/>
                    <a:cs typeface="Calibri"/>
                  </a:defRPr>
                </a:pPr>
                <a:r>
                  <a:rPr lang="cs-CZ" sz="900" b="0"/>
                  <a:t>Maximální vtláčecí výkon (%)</a:t>
                </a:r>
              </a:p>
            </c:rich>
          </c:tx>
          <c:layout>
            <c:manualLayout>
              <c:xMode val="edge"/>
              <c:yMode val="edge"/>
              <c:x val="0"/>
              <c:y val="0.37591318792690903"/>
            </c:manualLayout>
          </c:layout>
          <c:overlay val="0"/>
          <c:spPr>
            <a:noFill/>
            <a:ln w="25400">
              <a:noFill/>
            </a:ln>
          </c:spPr>
        </c:title>
        <c:numFmt formatCode="#,##0_ ;[Red]\-#,##0\ " sourceLinked="0"/>
        <c:majorTickMark val="out"/>
        <c:minorTickMark val="in"/>
        <c:tickLblPos val="nextTo"/>
        <c:spPr>
          <a:ln w="3175">
            <a:solidFill>
              <a:srgbClr val="000000"/>
            </a:solidFill>
            <a:prstDash val="solid"/>
          </a:ln>
        </c:spPr>
        <c:txPr>
          <a:bodyPr rot="0" vert="horz"/>
          <a:lstStyle/>
          <a:p>
            <a:pPr>
              <a:defRPr sz="1000" b="0" i="0" u="none" strike="noStrike" baseline="0">
                <a:solidFill>
                  <a:srgbClr val="000000"/>
                </a:solidFill>
                <a:latin typeface="Arial CE"/>
                <a:ea typeface="Arial CE"/>
                <a:cs typeface="Arial CE"/>
              </a:defRPr>
            </a:pPr>
            <a:endParaRPr lang="sk-SK"/>
          </a:p>
        </c:txPr>
        <c:crossAx val="65929600"/>
        <c:crosses val="max"/>
        <c:crossBetween val="midCat"/>
        <c:majorUnit val="10"/>
      </c:valAx>
      <c:spPr>
        <a:noFill/>
        <a:ln w="12700">
          <a:solidFill>
            <a:srgbClr val="000000"/>
          </a:solidFill>
          <a:prstDash val="solid"/>
        </a:ln>
      </c:spPr>
    </c:plotArea>
    <c:plotVisOnly val="1"/>
    <c:dispBlanksAs val="gap"/>
    <c:showDLblsOverMax val="0"/>
  </c:chart>
  <c:spPr>
    <a:noFill/>
    <a:ln w="3175">
      <a:solidFill>
        <a:srgbClr val="000000"/>
      </a:solidFill>
      <a:prstDash val="solid"/>
    </a:ln>
  </c:spPr>
  <c:txPr>
    <a:bodyPr/>
    <a:lstStyle/>
    <a:p>
      <a:pPr>
        <a:defRPr sz="1000" b="0" i="1" u="none" strike="noStrike" baseline="0">
          <a:solidFill>
            <a:srgbClr val="000000"/>
          </a:solidFill>
          <a:latin typeface="Arial CE"/>
          <a:ea typeface="Arial CE"/>
          <a:cs typeface="Arial CE"/>
        </a:defRPr>
      </a:pPr>
      <a:endParaRPr lang="sk-SK"/>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0.73475</cdr:x>
      <cdr:y>0.4915</cdr:y>
    </cdr:from>
    <cdr:to>
      <cdr:x>0.73475</cdr:x>
      <cdr:y>0.4915</cdr:y>
    </cdr:to>
    <cdr:sp macro="" textlink="">
      <cdr:nvSpPr>
        <cdr:cNvPr id="236545" name="AutoShape 1"/>
        <cdr:cNvSpPr>
          <a:spLocks xmlns:a="http://schemas.openxmlformats.org/drawingml/2006/main" noChangeShapeType="1"/>
        </cdr:cNvSpPr>
      </cdr:nvSpPr>
      <cdr:spPr bwMode="auto">
        <a:xfrm xmlns:a="http://schemas.openxmlformats.org/drawingml/2006/main" rot="5400000" flipV="1">
          <a:off x="7191899" y="3325963"/>
          <a:ext cx="0" cy="0"/>
        </a:xfrm>
        <a:prstGeom xmlns:a="http://schemas.openxmlformats.org/drawingml/2006/main" prst="curvedConnector3">
          <a:avLst>
            <a:gd name="adj1" fmla="val -5"/>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cs-CZ"/>
        </a:p>
      </cdr:txBody>
    </cdr:sp>
  </cdr:relSizeAnchor>
  <cdr:relSizeAnchor xmlns:cdr="http://schemas.openxmlformats.org/drawingml/2006/chartDrawing">
    <cdr:from>
      <cdr:x>0.3745</cdr:x>
      <cdr:y>0.72725</cdr:y>
    </cdr:from>
    <cdr:to>
      <cdr:x>0.94525</cdr:x>
      <cdr:y>0.76337</cdr:y>
    </cdr:to>
    <cdr:sp macro="" textlink="">
      <cdr:nvSpPr>
        <cdr:cNvPr id="274481" name="TextovéPole 1"/>
        <cdr:cNvSpPr txBox="1">
          <a:spLocks xmlns:a="http://schemas.openxmlformats.org/drawingml/2006/main" noChangeArrowheads="1"/>
        </cdr:cNvSpPr>
      </cdr:nvSpPr>
      <cdr:spPr bwMode="auto">
        <a:xfrm xmlns:a="http://schemas.openxmlformats.org/drawingml/2006/main">
          <a:off x="2531032" y="3571309"/>
          <a:ext cx="3865914" cy="178335"/>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vertOverflow="clip" wrap="square" lIns="27432" tIns="27432" rIns="27432" bIns="0" anchor="t"/>
        <a:lstStyle xmlns:a="http://schemas.openxmlformats.org/drawingml/2006/main"/>
        <a:p xmlns:a="http://schemas.openxmlformats.org/drawingml/2006/main">
          <a:pPr algn="ctr" rtl="0">
            <a:defRPr sz="1000"/>
          </a:pPr>
          <a:r>
            <a:rPr lang="cs-CZ" sz="800" b="0" i="0" u="none" strike="noStrike" baseline="0">
              <a:solidFill>
                <a:srgbClr val="000000"/>
              </a:solidFill>
              <a:latin typeface="Calibri"/>
              <a:cs typeface="Calibri"/>
            </a:rPr>
            <a:t>Odběrový (celkový) výkon při poklesu = 2,0292 x stav plynu na účtu ukladatele v % + 22,22</a:t>
          </a:r>
        </a:p>
      </cdr:txBody>
    </cdr:sp>
  </cdr:relSizeAnchor>
  <cdr:relSizeAnchor xmlns:cdr="http://schemas.openxmlformats.org/drawingml/2006/chartDrawing">
    <cdr:from>
      <cdr:x>0.18375</cdr:x>
      <cdr:y>0.19425</cdr:y>
    </cdr:from>
    <cdr:to>
      <cdr:x>0.41575</cdr:x>
      <cdr:y>0.2245</cdr:y>
    </cdr:to>
    <cdr:sp macro="" textlink="">
      <cdr:nvSpPr>
        <cdr:cNvPr id="274482" name="TextovéPole 1"/>
        <cdr:cNvSpPr txBox="1">
          <a:spLocks xmlns:a="http://schemas.openxmlformats.org/drawingml/2006/main" noChangeArrowheads="1"/>
        </cdr:cNvSpPr>
      </cdr:nvSpPr>
      <cdr:spPr bwMode="auto">
        <a:xfrm xmlns:a="http://schemas.openxmlformats.org/drawingml/2006/main">
          <a:off x="1861733" y="1247658"/>
          <a:ext cx="2361595" cy="207662"/>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vertOverflow="clip" wrap="square" lIns="27432" tIns="27432" rIns="27432" bIns="0" anchor="t"/>
        <a:lstStyle xmlns:a="http://schemas.openxmlformats.org/drawingml/2006/main"/>
        <a:p xmlns:a="http://schemas.openxmlformats.org/drawingml/2006/main">
          <a:pPr algn="ctr" rtl="0">
            <a:defRPr sz="1000"/>
          </a:pPr>
          <a:r>
            <a:rPr lang="cs-CZ" sz="800" b="0" i="0" u="none" strike="noStrike" baseline="0">
              <a:solidFill>
                <a:srgbClr val="000000"/>
              </a:solidFill>
              <a:latin typeface="Calibri"/>
              <a:cs typeface="Calibri"/>
            </a:rPr>
            <a:t>Maximální (celkový) těžební výkon</a:t>
          </a:r>
        </a:p>
      </cdr:txBody>
    </cdr:sp>
  </cdr:relSizeAnchor>
  <cdr:relSizeAnchor xmlns:cdr="http://schemas.openxmlformats.org/drawingml/2006/chartDrawing">
    <cdr:from>
      <cdr:x>0.64548</cdr:x>
      <cdr:y>0.939</cdr:y>
    </cdr:from>
    <cdr:to>
      <cdr:x>0.9695</cdr:x>
      <cdr:y>0.97692</cdr:y>
    </cdr:to>
    <cdr:sp macro="" textlink="">
      <cdr:nvSpPr>
        <cdr:cNvPr id="274483" name="TextovéPole 1"/>
        <cdr:cNvSpPr txBox="1">
          <a:spLocks xmlns:a="http://schemas.openxmlformats.org/drawingml/2006/main" noChangeArrowheads="1"/>
        </cdr:cNvSpPr>
      </cdr:nvSpPr>
      <cdr:spPr bwMode="auto">
        <a:xfrm xmlns:a="http://schemas.openxmlformats.org/drawingml/2006/main">
          <a:off x="4368297" y="4604818"/>
          <a:ext cx="2192760" cy="185974"/>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vertOverflow="clip" wrap="square" lIns="27432" tIns="27432" rIns="27432" bIns="0" anchor="t"/>
        <a:lstStyle xmlns:a="http://schemas.openxmlformats.org/drawingml/2006/main"/>
        <a:p xmlns:a="http://schemas.openxmlformats.org/drawingml/2006/main">
          <a:pPr algn="ctr" rtl="0">
            <a:defRPr sz="1000"/>
          </a:pPr>
          <a:r>
            <a:rPr lang="cs-CZ" sz="700" b="0" i="0" u="none" strike="noStrike" baseline="0">
              <a:solidFill>
                <a:srgbClr val="000000"/>
              </a:solidFill>
              <a:latin typeface="Calibri"/>
              <a:cs typeface="Calibri"/>
            </a:rPr>
            <a:t>Hodnota výkonu se zaokrouhluje na 2 desetinná místa</a:t>
          </a:r>
        </a:p>
      </cdr:txBody>
    </cdr:sp>
  </cdr:relSizeAnchor>
  <cdr:relSizeAnchor xmlns:cdr="http://schemas.openxmlformats.org/drawingml/2006/chartDrawing">
    <cdr:from>
      <cdr:x>0.76525</cdr:x>
      <cdr:y>0.0045</cdr:y>
    </cdr:from>
    <cdr:to>
      <cdr:x>0.99425</cdr:x>
      <cdr:y>0.0415</cdr:y>
    </cdr:to>
    <cdr:sp macro="" textlink="">
      <cdr:nvSpPr>
        <cdr:cNvPr id="274484" name="TextovéPole 1"/>
        <cdr:cNvSpPr txBox="1">
          <a:spLocks xmlns:a="http://schemas.openxmlformats.org/drawingml/2006/main" noChangeArrowheads="1"/>
        </cdr:cNvSpPr>
      </cdr:nvSpPr>
      <cdr:spPr bwMode="auto">
        <a:xfrm xmlns:a="http://schemas.openxmlformats.org/drawingml/2006/main">
          <a:off x="7798875" y="28701"/>
          <a:ext cx="2343743" cy="22285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cdr:spPr>
      <cdr:txBody>
        <a:bodyPr xmlns:a="http://schemas.openxmlformats.org/drawingml/2006/main" vertOverflow="clip" wrap="square" lIns="0" tIns="27432" rIns="27432" bIns="0" anchor="t"/>
        <a:lstStyle xmlns:a="http://schemas.openxmlformats.org/drawingml/2006/main"/>
        <a:p xmlns:a="http://schemas.openxmlformats.org/drawingml/2006/main">
          <a:pPr algn="r" rtl="0">
            <a:defRPr sz="1000"/>
          </a:pPr>
          <a:r>
            <a:rPr lang="cs-CZ" sz="800" b="0" i="1" u="none" strike="noStrike" baseline="0">
              <a:solidFill>
                <a:srgbClr val="000000"/>
              </a:solidFill>
              <a:latin typeface="Calibri"/>
              <a:cs typeface="Calibri"/>
            </a:rPr>
            <a:t>Příloha č. 1 Smlouvy o uskladnění</a:t>
          </a:r>
        </a:p>
      </cdr:txBody>
    </cdr:sp>
  </cdr:relSizeAnchor>
</c:userShapes>
</file>

<file path=word/drawings/drawing2.xml><?xml version="1.0" encoding="utf-8"?>
<c:userShapes xmlns:c="http://schemas.openxmlformats.org/drawingml/2006/chart">
  <cdr:relSizeAnchor xmlns:cdr="http://schemas.openxmlformats.org/drawingml/2006/chartDrawing">
    <cdr:from>
      <cdr:x>0.733</cdr:x>
      <cdr:y>0.51375</cdr:y>
    </cdr:from>
    <cdr:to>
      <cdr:x>0.733</cdr:x>
      <cdr:y>0.51375</cdr:y>
    </cdr:to>
    <cdr:sp macro="" textlink="">
      <cdr:nvSpPr>
        <cdr:cNvPr id="248833" name="AutoShape 1"/>
        <cdr:cNvSpPr>
          <a:spLocks xmlns:a="http://schemas.openxmlformats.org/drawingml/2006/main" noChangeShapeType="1"/>
        </cdr:cNvSpPr>
      </cdr:nvSpPr>
      <cdr:spPr bwMode="auto">
        <a:xfrm xmlns:a="http://schemas.openxmlformats.org/drawingml/2006/main" rot="5400000" flipV="1">
          <a:off x="7184248" y="3464019"/>
          <a:ext cx="0" cy="0"/>
        </a:xfrm>
        <a:prstGeom xmlns:a="http://schemas.openxmlformats.org/drawingml/2006/main" prst="curvedConnector3">
          <a:avLst>
            <a:gd name="adj1" fmla="val -5"/>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cs-CZ"/>
        </a:p>
      </cdr:txBody>
    </cdr:sp>
  </cdr:relSizeAnchor>
  <cdr:relSizeAnchor xmlns:cdr="http://schemas.openxmlformats.org/drawingml/2006/chartDrawing">
    <cdr:from>
      <cdr:x>0.57075</cdr:x>
      <cdr:y>0.20975</cdr:y>
    </cdr:from>
    <cdr:to>
      <cdr:x>0.861</cdr:x>
      <cdr:y>0.20975</cdr:y>
    </cdr:to>
    <cdr:sp macro="" textlink="">
      <cdr:nvSpPr>
        <cdr:cNvPr id="307202" name="Line 2"/>
        <cdr:cNvSpPr>
          <a:spLocks xmlns:a="http://schemas.openxmlformats.org/drawingml/2006/main" noChangeShapeType="1"/>
        </cdr:cNvSpPr>
      </cdr:nvSpPr>
      <cdr:spPr bwMode="auto">
        <a:xfrm xmlns:a="http://schemas.openxmlformats.org/drawingml/2006/main">
          <a:off x="5819827" y="1362694"/>
          <a:ext cx="2966021" cy="0"/>
        </a:xfrm>
        <a:prstGeom xmlns:a="http://schemas.openxmlformats.org/drawingml/2006/main" prst="line">
          <a:avLst/>
        </a:prstGeom>
        <a:noFill xmlns:a="http://schemas.openxmlformats.org/drawingml/2006/main"/>
        <a:ln xmlns:a="http://schemas.openxmlformats.org/drawingml/2006/main" w="38100">
          <a:solidFill>
            <a:srgbClr val="339966"/>
          </a:solidFill>
          <a:round/>
          <a:headEnd type="triangle" w="med" len="med"/>
          <a:tailEnd/>
        </a:ln>
      </cdr:spPr>
      <cdr:txBody>
        <a:bodyPr xmlns:a="http://schemas.openxmlformats.org/drawingml/2006/main"/>
        <a:lstStyle xmlns:a="http://schemas.openxmlformats.org/drawingml/2006/main"/>
        <a:p xmlns:a="http://schemas.openxmlformats.org/drawingml/2006/main">
          <a:endParaRPr lang="cs-CZ"/>
        </a:p>
      </cdr:txBody>
    </cdr:sp>
  </cdr:relSizeAnchor>
  <cdr:relSizeAnchor xmlns:cdr="http://schemas.openxmlformats.org/drawingml/2006/chartDrawing">
    <cdr:from>
      <cdr:x>0.54232</cdr:x>
      <cdr:y>0.01544</cdr:y>
    </cdr:from>
    <cdr:to>
      <cdr:x>0.63321</cdr:x>
      <cdr:y>0.15596</cdr:y>
    </cdr:to>
    <cdr:sp macro="" textlink="">
      <cdr:nvSpPr>
        <cdr:cNvPr id="7" name="TextovéPole 6"/>
        <cdr:cNvSpPr txBox="1"/>
      </cdr:nvSpPr>
      <cdr:spPr>
        <a:xfrm xmlns:a="http://schemas.openxmlformats.org/drawingml/2006/main">
          <a:off x="5251858" y="96124"/>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cs-CZ"/>
        </a:p>
      </cdr:txBody>
    </cdr:sp>
  </cdr:relSizeAnchor>
  <cdr:relSizeAnchor xmlns:cdr="http://schemas.openxmlformats.org/drawingml/2006/chartDrawing">
    <cdr:from>
      <cdr:x>0.76875</cdr:x>
      <cdr:y>0.00375</cdr:y>
    </cdr:from>
    <cdr:to>
      <cdr:x>0.9855</cdr:x>
      <cdr:y>0.04175</cdr:y>
    </cdr:to>
    <cdr:sp macro="" textlink="">
      <cdr:nvSpPr>
        <cdr:cNvPr id="307221" name="TextovéPole 7"/>
        <cdr:cNvSpPr txBox="1">
          <a:spLocks xmlns:a="http://schemas.openxmlformats.org/drawingml/2006/main" noChangeArrowheads="1"/>
        </cdr:cNvSpPr>
      </cdr:nvSpPr>
      <cdr:spPr bwMode="auto">
        <a:xfrm xmlns:a="http://schemas.openxmlformats.org/drawingml/2006/main">
          <a:off x="7842230" y="23670"/>
          <a:ext cx="2216227" cy="23162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0" tIns="27432" rIns="27432" bIns="0" anchor="t"/>
        <a:lstStyle xmlns:a="http://schemas.openxmlformats.org/drawingml/2006/main"/>
        <a:p xmlns:a="http://schemas.openxmlformats.org/drawingml/2006/main">
          <a:pPr algn="r" rtl="0">
            <a:defRPr sz="1000"/>
          </a:pPr>
          <a:r>
            <a:rPr lang="cs-CZ" sz="800" b="0" i="1" u="none" strike="noStrike" baseline="0">
              <a:solidFill>
                <a:srgbClr val="000000"/>
              </a:solidFill>
              <a:latin typeface="Calibri"/>
              <a:cs typeface="Calibri"/>
            </a:rPr>
            <a:t>Příloha č. 1 Smlouvy o uskladnění</a:t>
          </a:r>
        </a:p>
      </cdr:txBody>
    </cdr:sp>
  </cdr:relSizeAnchor>
</c:userShape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230DC-B620-4048-8C05-F721B58DB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2051</Words>
  <Characters>11697</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Informace</vt:lpstr>
    </vt:vector>
  </TitlesOfParts>
  <Company>MNDAS</Company>
  <LinksUpToDate>false</LinksUpToDate>
  <CharactersWithSpaces>13721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Informace</dc:title>
  <dc:creator>Ivana Dočkalová</dc:creator>
  <cp:lastModifiedBy>Mgr. Slavomír Halla</cp:lastModifiedBy>
  <cp:revision>6</cp:revision>
  <cp:lastPrinted>2012-11-07T14:30:00Z</cp:lastPrinted>
  <dcterms:created xsi:type="dcterms:W3CDTF">2015-03-03T13:25:00Z</dcterms:created>
  <dcterms:modified xsi:type="dcterms:W3CDTF">2015-03-03T15:01:00Z</dcterms:modified>
</cp:coreProperties>
</file>